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847" w:rsidRPr="00EE6799" w:rsidRDefault="00602847" w:rsidP="00EE6799">
      <w:pPr>
        <w:pStyle w:val="ConsPlusNonformat"/>
        <w:jc w:val="center"/>
        <w:rPr>
          <w:rFonts w:ascii="Times New Roman" w:hAnsi="Times New Roman" w:cs="Times New Roman"/>
        </w:rPr>
      </w:pPr>
      <w:r w:rsidRPr="00EE6799">
        <w:rPr>
          <w:rFonts w:ascii="Times New Roman" w:hAnsi="Times New Roman" w:cs="Times New Roman"/>
        </w:rPr>
        <w:t>ПРЕДЛОЖЕНИЕ</w:t>
      </w:r>
    </w:p>
    <w:p w:rsidR="00602847" w:rsidRPr="00EE6799" w:rsidRDefault="00602847" w:rsidP="00EE6799">
      <w:pPr>
        <w:pStyle w:val="ConsPlusNonformat"/>
        <w:jc w:val="center"/>
        <w:rPr>
          <w:rFonts w:ascii="Times New Roman" w:hAnsi="Times New Roman" w:cs="Times New Roman"/>
        </w:rPr>
      </w:pPr>
      <w:r w:rsidRPr="00EE6799">
        <w:rPr>
          <w:rFonts w:ascii="Times New Roman" w:hAnsi="Times New Roman" w:cs="Times New Roman"/>
        </w:rPr>
        <w:t>о размере цен (тарифов), долгосрочных параметров регулирования</w:t>
      </w:r>
    </w:p>
    <w:p w:rsidR="00602847" w:rsidRPr="00EE6799" w:rsidRDefault="00602847" w:rsidP="00EE6799">
      <w:pPr>
        <w:pStyle w:val="ConsPlusNonformat"/>
        <w:jc w:val="center"/>
        <w:rPr>
          <w:rFonts w:ascii="Times New Roman" w:hAnsi="Times New Roman" w:cs="Times New Roman"/>
        </w:rPr>
      </w:pPr>
      <w:r w:rsidRPr="00EE6799">
        <w:rPr>
          <w:rFonts w:ascii="Times New Roman" w:hAnsi="Times New Roman" w:cs="Times New Roman"/>
        </w:rPr>
        <w:t>(вид цены (тарифа) на 202</w:t>
      </w:r>
      <w:r w:rsidR="00990E0C" w:rsidRPr="00573EA3">
        <w:rPr>
          <w:rFonts w:ascii="Times New Roman" w:hAnsi="Times New Roman" w:cs="Times New Roman"/>
        </w:rPr>
        <w:t>3</w:t>
      </w:r>
      <w:r w:rsidRPr="00EE6799">
        <w:rPr>
          <w:rFonts w:ascii="Times New Roman" w:hAnsi="Times New Roman" w:cs="Times New Roman"/>
        </w:rPr>
        <w:t xml:space="preserve"> год</w:t>
      </w:r>
    </w:p>
    <w:p w:rsidR="00602847" w:rsidRPr="00EE6799" w:rsidRDefault="00602847" w:rsidP="00EE6799">
      <w:pPr>
        <w:pStyle w:val="ConsPlusNonformat"/>
        <w:jc w:val="center"/>
        <w:rPr>
          <w:rFonts w:ascii="Times New Roman" w:hAnsi="Times New Roman" w:cs="Times New Roman"/>
        </w:rPr>
      </w:pPr>
      <w:r w:rsidRPr="00EE6799">
        <w:rPr>
          <w:rFonts w:ascii="Times New Roman" w:hAnsi="Times New Roman" w:cs="Times New Roman"/>
        </w:rPr>
        <w:t>(расчетный период регулирования)</w:t>
      </w:r>
    </w:p>
    <w:p w:rsidR="00602847" w:rsidRPr="00EE6799" w:rsidRDefault="00602847" w:rsidP="00602847">
      <w:pPr>
        <w:pStyle w:val="ConsPlusNonformat"/>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u w:val="single"/>
        </w:rPr>
      </w:pPr>
      <w:r w:rsidRPr="00EE6799">
        <w:rPr>
          <w:rFonts w:ascii="Times New Roman" w:hAnsi="Times New Roman" w:cs="Times New Roman"/>
        </w:rPr>
        <w:t>________________</w:t>
      </w:r>
      <w:r w:rsidRPr="00EE6799">
        <w:rPr>
          <w:rFonts w:ascii="Times New Roman" w:hAnsi="Times New Roman" w:cs="Times New Roman"/>
          <w:u w:val="single"/>
        </w:rPr>
        <w:t>А</w:t>
      </w:r>
      <w:r w:rsidR="002C29BE" w:rsidRPr="00EE6799">
        <w:rPr>
          <w:rFonts w:ascii="Times New Roman" w:hAnsi="Times New Roman" w:cs="Times New Roman"/>
          <w:u w:val="single"/>
        </w:rPr>
        <w:t xml:space="preserve">КЦИОНЕРНОЕ </w:t>
      </w:r>
      <w:r w:rsidRPr="00EE6799">
        <w:rPr>
          <w:rFonts w:ascii="Times New Roman" w:hAnsi="Times New Roman" w:cs="Times New Roman"/>
          <w:u w:val="single"/>
        </w:rPr>
        <w:t>О</w:t>
      </w:r>
      <w:r w:rsidR="002C29BE" w:rsidRPr="00EE6799">
        <w:rPr>
          <w:rFonts w:ascii="Times New Roman" w:hAnsi="Times New Roman" w:cs="Times New Roman"/>
          <w:u w:val="single"/>
        </w:rPr>
        <w:t>БЩЕСТВО</w:t>
      </w:r>
      <w:r w:rsidRPr="00EE6799">
        <w:rPr>
          <w:rFonts w:ascii="Times New Roman" w:hAnsi="Times New Roman" w:cs="Times New Roman"/>
          <w:u w:val="single"/>
        </w:rPr>
        <w:t xml:space="preserve"> «С</w:t>
      </w:r>
      <w:r w:rsidR="002C29BE" w:rsidRPr="00EE6799">
        <w:rPr>
          <w:rFonts w:ascii="Times New Roman" w:hAnsi="Times New Roman" w:cs="Times New Roman"/>
          <w:u w:val="single"/>
        </w:rPr>
        <w:t>ИНАРСКИЙ ТРУБНЫЙ ЗАВОД</w:t>
      </w:r>
      <w:r w:rsidRPr="00EE6799">
        <w:rPr>
          <w:rFonts w:ascii="Times New Roman" w:hAnsi="Times New Roman" w:cs="Times New Roman"/>
          <w:u w:val="single"/>
        </w:rPr>
        <w:t>»________</w:t>
      </w:r>
      <w:r w:rsidR="002C29BE" w:rsidRPr="00EE6799">
        <w:rPr>
          <w:rFonts w:ascii="Times New Roman" w:hAnsi="Times New Roman" w:cs="Times New Roman"/>
          <w:u w:val="single"/>
        </w:rPr>
        <w:t>____</w:t>
      </w:r>
      <w:r w:rsidRPr="00EE6799">
        <w:rPr>
          <w:rFonts w:ascii="Times New Roman" w:hAnsi="Times New Roman" w:cs="Times New Roman"/>
          <w:u w:val="single"/>
        </w:rPr>
        <w:t>_</w:t>
      </w:r>
    </w:p>
    <w:p w:rsidR="00602847" w:rsidRPr="00EE6799" w:rsidRDefault="00602847" w:rsidP="00602847">
      <w:pPr>
        <w:pStyle w:val="ConsPlusNonformat"/>
        <w:jc w:val="center"/>
        <w:rPr>
          <w:rFonts w:ascii="Times New Roman" w:hAnsi="Times New Roman" w:cs="Times New Roman"/>
        </w:rPr>
      </w:pPr>
      <w:r w:rsidRPr="00EE6799">
        <w:rPr>
          <w:rFonts w:ascii="Times New Roman" w:hAnsi="Times New Roman" w:cs="Times New Roman"/>
        </w:rPr>
        <w:t>(полное и сокращенное наименование юридического лица)</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___________________________________________________________________________</w:t>
      </w:r>
    </w:p>
    <w:p w:rsidR="00602847" w:rsidRPr="00EE6799" w:rsidRDefault="00602847" w:rsidP="00602847">
      <w:pPr>
        <w:pStyle w:val="ConsPlusNonformat"/>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                       I. Информация об организации</w:t>
      </w: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Полное наименование А</w:t>
      </w:r>
      <w:r w:rsidR="002C29BE" w:rsidRPr="00EE6799">
        <w:rPr>
          <w:rFonts w:ascii="Times New Roman" w:hAnsi="Times New Roman" w:cs="Times New Roman"/>
        </w:rPr>
        <w:t>КЦИОНЕРНОЕ ОБЩЕСТВО</w:t>
      </w:r>
      <w:r w:rsidRPr="00EE6799">
        <w:rPr>
          <w:rFonts w:ascii="Times New Roman" w:hAnsi="Times New Roman" w:cs="Times New Roman"/>
        </w:rPr>
        <w:t xml:space="preserve"> «С</w:t>
      </w:r>
      <w:r w:rsidR="002C29BE" w:rsidRPr="00EE6799">
        <w:rPr>
          <w:rFonts w:ascii="Times New Roman" w:hAnsi="Times New Roman" w:cs="Times New Roman"/>
        </w:rPr>
        <w:t>ИНАРСКИЙ ТРУБНЫЙ ЗАВОД</w:t>
      </w:r>
      <w:r w:rsidRPr="00EE6799">
        <w:rPr>
          <w:rFonts w:ascii="Times New Roman" w:hAnsi="Times New Roman" w:cs="Times New Roman"/>
        </w:rPr>
        <w:t>»</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Сокращенное наименование АО «С</w:t>
      </w:r>
      <w:r w:rsidR="002C29BE" w:rsidRPr="00EE6799">
        <w:rPr>
          <w:rFonts w:ascii="Times New Roman" w:hAnsi="Times New Roman" w:cs="Times New Roman"/>
        </w:rPr>
        <w:t>ИН</w:t>
      </w:r>
      <w:r w:rsidRPr="00EE6799">
        <w:rPr>
          <w:rFonts w:ascii="Times New Roman" w:hAnsi="Times New Roman" w:cs="Times New Roman"/>
        </w:rPr>
        <w:t>ТЗ»</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Место нахождения 623400 Свердловская область, </w:t>
      </w:r>
      <w:proofErr w:type="spellStart"/>
      <w:r w:rsidRPr="00EE6799">
        <w:rPr>
          <w:rFonts w:ascii="Times New Roman" w:hAnsi="Times New Roman" w:cs="Times New Roman"/>
        </w:rPr>
        <w:t>г.Каменск</w:t>
      </w:r>
      <w:proofErr w:type="spellEnd"/>
      <w:r w:rsidRPr="00EE6799">
        <w:rPr>
          <w:rFonts w:ascii="Times New Roman" w:hAnsi="Times New Roman" w:cs="Times New Roman"/>
        </w:rPr>
        <w:t xml:space="preserve">-Уральский, </w:t>
      </w:r>
      <w:proofErr w:type="spellStart"/>
      <w:r w:rsidRPr="00EE6799">
        <w:rPr>
          <w:rFonts w:ascii="Times New Roman" w:hAnsi="Times New Roman" w:cs="Times New Roman"/>
        </w:rPr>
        <w:t>ул.Заводской</w:t>
      </w:r>
      <w:proofErr w:type="spellEnd"/>
      <w:r w:rsidRPr="00EE6799">
        <w:rPr>
          <w:rFonts w:ascii="Times New Roman" w:hAnsi="Times New Roman" w:cs="Times New Roman"/>
        </w:rPr>
        <w:t xml:space="preserve"> проезд,1 </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Фактический адрес 623400 Свердловская область, </w:t>
      </w:r>
      <w:proofErr w:type="spellStart"/>
      <w:r w:rsidRPr="00EE6799">
        <w:rPr>
          <w:rFonts w:ascii="Times New Roman" w:hAnsi="Times New Roman" w:cs="Times New Roman"/>
        </w:rPr>
        <w:t>г.Каменск</w:t>
      </w:r>
      <w:proofErr w:type="spellEnd"/>
      <w:r w:rsidRPr="00EE6799">
        <w:rPr>
          <w:rFonts w:ascii="Times New Roman" w:hAnsi="Times New Roman" w:cs="Times New Roman"/>
        </w:rPr>
        <w:t xml:space="preserve">-Уральский, </w:t>
      </w:r>
      <w:proofErr w:type="spellStart"/>
      <w:r w:rsidRPr="00EE6799">
        <w:rPr>
          <w:rFonts w:ascii="Times New Roman" w:hAnsi="Times New Roman" w:cs="Times New Roman"/>
        </w:rPr>
        <w:t>ул.Заводской</w:t>
      </w:r>
      <w:proofErr w:type="spellEnd"/>
      <w:r w:rsidRPr="00EE6799">
        <w:rPr>
          <w:rFonts w:ascii="Times New Roman" w:hAnsi="Times New Roman" w:cs="Times New Roman"/>
        </w:rPr>
        <w:t xml:space="preserve"> проезд,1</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ИНН __</w:t>
      </w:r>
      <w:r w:rsidR="008E2322" w:rsidRPr="00EE6799">
        <w:rPr>
          <w:rFonts w:ascii="Times New Roman" w:hAnsi="Times New Roman" w:cs="Times New Roman"/>
        </w:rPr>
        <w:t>6612000551</w:t>
      </w:r>
      <w:r w:rsidRPr="00EE6799">
        <w:rPr>
          <w:rFonts w:ascii="Times New Roman" w:hAnsi="Times New Roman" w:cs="Times New Roman"/>
        </w:rPr>
        <w:t>__________________________________________________________</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КПП __</w:t>
      </w:r>
      <w:r w:rsidR="008E2322" w:rsidRPr="00EE6799">
        <w:rPr>
          <w:rFonts w:ascii="Times New Roman" w:hAnsi="Times New Roman" w:cs="Times New Roman"/>
        </w:rPr>
        <w:t>997450001</w:t>
      </w:r>
      <w:r w:rsidRPr="00EE6799">
        <w:rPr>
          <w:rFonts w:ascii="Times New Roman" w:hAnsi="Times New Roman" w:cs="Times New Roman"/>
        </w:rPr>
        <w:t>___________________________________________________________</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Ф.И.О. руководителя </w:t>
      </w:r>
      <w:proofErr w:type="spellStart"/>
      <w:r w:rsidRPr="00EE6799">
        <w:rPr>
          <w:rFonts w:ascii="Times New Roman" w:hAnsi="Times New Roman" w:cs="Times New Roman"/>
        </w:rPr>
        <w:t>Гагаринов</w:t>
      </w:r>
      <w:proofErr w:type="spellEnd"/>
      <w:r w:rsidRPr="00EE6799">
        <w:rPr>
          <w:rFonts w:ascii="Times New Roman" w:hAnsi="Times New Roman" w:cs="Times New Roman"/>
        </w:rPr>
        <w:t xml:space="preserve"> Вячеслав Алексеевич</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Адрес электронной почты ___</w:t>
      </w:r>
      <w:proofErr w:type="spellStart"/>
      <w:r w:rsidR="00EE6799" w:rsidRPr="00EE6799">
        <w:rPr>
          <w:rFonts w:ascii="Times New Roman" w:hAnsi="Times New Roman" w:cs="Times New Roman"/>
          <w:lang w:val="en-US"/>
        </w:rPr>
        <w:t>Sinarsky</w:t>
      </w:r>
      <w:proofErr w:type="spellEnd"/>
      <w:r w:rsidR="00EE6799" w:rsidRPr="00EE6799">
        <w:rPr>
          <w:rFonts w:ascii="Times New Roman" w:hAnsi="Times New Roman" w:cs="Times New Roman"/>
        </w:rPr>
        <w:t>@</w:t>
      </w:r>
      <w:proofErr w:type="spellStart"/>
      <w:r w:rsidR="00EE6799" w:rsidRPr="00EE6799">
        <w:rPr>
          <w:rFonts w:ascii="Times New Roman" w:hAnsi="Times New Roman" w:cs="Times New Roman"/>
          <w:lang w:val="en-US"/>
        </w:rPr>
        <w:t>s</w:t>
      </w:r>
      <w:r w:rsidR="008E2322" w:rsidRPr="00EE6799">
        <w:rPr>
          <w:rFonts w:ascii="Times New Roman" w:hAnsi="Times New Roman" w:cs="Times New Roman"/>
          <w:lang w:val="en-US"/>
        </w:rPr>
        <w:t>intz</w:t>
      </w:r>
      <w:proofErr w:type="spellEnd"/>
      <w:r w:rsidR="008E2322" w:rsidRPr="00EE6799">
        <w:rPr>
          <w:rFonts w:ascii="Times New Roman" w:hAnsi="Times New Roman" w:cs="Times New Roman"/>
        </w:rPr>
        <w:t>.</w:t>
      </w:r>
      <w:proofErr w:type="spellStart"/>
      <w:r w:rsidR="00EE6799" w:rsidRPr="00EE6799">
        <w:rPr>
          <w:rFonts w:ascii="Times New Roman" w:hAnsi="Times New Roman" w:cs="Times New Roman"/>
          <w:lang w:val="en-US"/>
        </w:rPr>
        <w:t>ru</w:t>
      </w:r>
      <w:proofErr w:type="spellEnd"/>
      <w:r w:rsidRPr="00EE6799">
        <w:rPr>
          <w:rFonts w:ascii="Times New Roman" w:hAnsi="Times New Roman" w:cs="Times New Roman"/>
        </w:rPr>
        <w:t>__________________</w:t>
      </w:r>
      <w:r w:rsidR="00EE6799" w:rsidRPr="00EE6799">
        <w:rPr>
          <w:rFonts w:ascii="Times New Roman" w:hAnsi="Times New Roman" w:cs="Times New Roman"/>
        </w:rPr>
        <w:t>______</w:t>
      </w:r>
      <w:r w:rsidRPr="00EE6799">
        <w:rPr>
          <w:rFonts w:ascii="Times New Roman" w:hAnsi="Times New Roman" w:cs="Times New Roman"/>
        </w:rPr>
        <w:t>_______</w:t>
      </w: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Контактный телефон __</w:t>
      </w:r>
      <w:r w:rsidR="008E2322" w:rsidRPr="00EE6799">
        <w:rPr>
          <w:rFonts w:ascii="Times New Roman" w:hAnsi="Times New Roman" w:cs="Times New Roman"/>
        </w:rPr>
        <w:t>(3439)36-34-03</w:t>
      </w:r>
      <w:r w:rsidRPr="00EE6799">
        <w:rPr>
          <w:rFonts w:ascii="Times New Roman" w:hAnsi="Times New Roman" w:cs="Times New Roman"/>
        </w:rPr>
        <w:t>________________________________________</w:t>
      </w:r>
    </w:p>
    <w:p w:rsidR="00602847" w:rsidRPr="00EE6799" w:rsidRDefault="008E2322" w:rsidP="00602847">
      <w:pPr>
        <w:pStyle w:val="ConsPlusNonformat"/>
        <w:jc w:val="both"/>
        <w:rPr>
          <w:rFonts w:ascii="Times New Roman" w:hAnsi="Times New Roman" w:cs="Times New Roman"/>
        </w:rPr>
      </w:pPr>
      <w:r w:rsidRPr="00EE6799">
        <w:rPr>
          <w:rFonts w:ascii="Times New Roman" w:hAnsi="Times New Roman" w:cs="Times New Roman"/>
        </w:rPr>
        <w:t>Факс ________________(3439) 36-34-03</w:t>
      </w:r>
      <w:r w:rsidR="00602847" w:rsidRPr="00EE6799">
        <w:rPr>
          <w:rFonts w:ascii="Times New Roman" w:hAnsi="Times New Roman" w:cs="Times New Roman"/>
        </w:rPr>
        <w:t>_______________________________________</w:t>
      </w: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             II. Основные показатели деятельности организации</w:t>
      </w:r>
    </w:p>
    <w:p w:rsidR="00602847" w:rsidRPr="00EE6799" w:rsidRDefault="00602847" w:rsidP="0060284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231"/>
        <w:gridCol w:w="1361"/>
        <w:gridCol w:w="1170"/>
        <w:gridCol w:w="1170"/>
        <w:gridCol w:w="1172"/>
      </w:tblGrid>
      <w:tr w:rsidR="00602847" w:rsidRPr="00EE6799" w:rsidTr="00C5233D">
        <w:tc>
          <w:tcPr>
            <w:tcW w:w="4195" w:type="dxa"/>
            <w:gridSpan w:val="2"/>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Наименование показателей</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Единица измерения</w:t>
            </w:r>
          </w:p>
        </w:tc>
        <w:tc>
          <w:tcPr>
            <w:tcW w:w="1170"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Фактические показатели за год, предшествующий базовому периоду</w:t>
            </w:r>
          </w:p>
        </w:tc>
        <w:tc>
          <w:tcPr>
            <w:tcW w:w="1170"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 xml:space="preserve">Показатели, утвержденные на базовый период </w:t>
            </w:r>
            <w:hyperlink r:id="rId4" w:anchor="Par1890" w:history="1">
              <w:r w:rsidRPr="00EE6799">
                <w:rPr>
                  <w:rStyle w:val="a3"/>
                  <w:rFonts w:ascii="Times New Roman" w:hAnsi="Times New Roman" w:cs="Times New Roman"/>
                  <w:u w:val="none"/>
                </w:rPr>
                <w:t>&lt;*&gt;</w:t>
              </w:r>
            </w:hyperlink>
          </w:p>
        </w:tc>
        <w:tc>
          <w:tcPr>
            <w:tcW w:w="1172"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Предложения на расчетный период регулирования</w:t>
            </w:r>
          </w:p>
        </w:tc>
      </w:tr>
      <w:tr w:rsidR="00602847" w:rsidRPr="00EE6799" w:rsidTr="00C5233D">
        <w:tc>
          <w:tcPr>
            <w:tcW w:w="9068" w:type="dxa"/>
            <w:gridSpan w:val="6"/>
            <w:hideMark/>
          </w:tcPr>
          <w:p w:rsidR="00602847" w:rsidRPr="00EE6799" w:rsidRDefault="00602847">
            <w:pPr>
              <w:pStyle w:val="ConsPlusNormal"/>
              <w:spacing w:line="276" w:lineRule="auto"/>
              <w:jc w:val="center"/>
              <w:outlineLvl w:val="3"/>
              <w:rPr>
                <w:rFonts w:ascii="Times New Roman" w:hAnsi="Times New Roman" w:cs="Times New Roman"/>
              </w:rPr>
            </w:pPr>
            <w:r w:rsidRPr="00EE6799">
              <w:rPr>
                <w:rFonts w:ascii="Times New Roman" w:hAnsi="Times New Roman" w:cs="Times New Roman"/>
              </w:rPr>
              <w:t>1. Основные показатели деятельности организаций, относящихся к субъектам естественных монополий, а также коммерческого оператора оптового рынка электрической энергии (мощности)</w:t>
            </w:r>
          </w:p>
        </w:tc>
      </w:tr>
      <w:tr w:rsidR="00602847" w:rsidRPr="00EE6799" w:rsidTr="00C5233D">
        <w:tc>
          <w:tcPr>
            <w:tcW w:w="964" w:type="dxa"/>
          </w:tcPr>
          <w:p w:rsidR="00602847" w:rsidRPr="00EE6799" w:rsidRDefault="00602847">
            <w:pPr>
              <w:pStyle w:val="ConsPlusNormal"/>
              <w:spacing w:line="276" w:lineRule="auto"/>
              <w:rPr>
                <w:rFonts w:ascii="Times New Roman" w:hAnsi="Times New Roman" w:cs="Times New Roman"/>
              </w:rPr>
            </w:pP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1. Показатели эффективности деятельности организации</w:t>
            </w:r>
          </w:p>
        </w:tc>
        <w:tc>
          <w:tcPr>
            <w:tcW w:w="1361"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1.1.</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Выручка</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602847" w:rsidRPr="00990E0C" w:rsidRDefault="006D74F1">
            <w:pPr>
              <w:pStyle w:val="ConsPlusNormal"/>
              <w:spacing w:line="276" w:lineRule="auto"/>
              <w:rPr>
                <w:rFonts w:ascii="Times New Roman" w:hAnsi="Times New Roman" w:cs="Times New Roman"/>
              </w:rPr>
            </w:pPr>
            <w:r>
              <w:rPr>
                <w:rFonts w:ascii="Times New Roman" w:hAnsi="Times New Roman" w:cs="Times New Roman"/>
              </w:rPr>
              <w:t>1790,55</w:t>
            </w:r>
          </w:p>
        </w:tc>
        <w:tc>
          <w:tcPr>
            <w:tcW w:w="1170" w:type="dxa"/>
          </w:tcPr>
          <w:p w:rsidR="00602847" w:rsidRPr="00EE6799" w:rsidRDefault="00405D0D">
            <w:pPr>
              <w:pStyle w:val="ConsPlusNormal"/>
              <w:spacing w:line="276" w:lineRule="auto"/>
              <w:rPr>
                <w:rFonts w:ascii="Times New Roman" w:hAnsi="Times New Roman" w:cs="Times New Roman"/>
              </w:rPr>
            </w:pPr>
            <w:r>
              <w:rPr>
                <w:rFonts w:ascii="Times New Roman" w:hAnsi="Times New Roman" w:cs="Times New Roman"/>
              </w:rPr>
              <w:t>3 455,70</w:t>
            </w:r>
          </w:p>
        </w:tc>
        <w:tc>
          <w:tcPr>
            <w:tcW w:w="1172" w:type="dxa"/>
          </w:tcPr>
          <w:p w:rsidR="00602847" w:rsidRPr="00EE6799" w:rsidRDefault="00405D0D">
            <w:pPr>
              <w:pStyle w:val="ConsPlusNormal"/>
              <w:spacing w:line="276" w:lineRule="auto"/>
              <w:rPr>
                <w:rFonts w:ascii="Times New Roman" w:hAnsi="Times New Roman" w:cs="Times New Roman"/>
              </w:rPr>
            </w:pPr>
            <w:r>
              <w:rPr>
                <w:rFonts w:ascii="Times New Roman" w:hAnsi="Times New Roman" w:cs="Times New Roman"/>
              </w:rPr>
              <w:t>4 628,91</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1.2.</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Прибыль (убыток) от продаж</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6D74F1" w:rsidRPr="006D74F1" w:rsidRDefault="006D74F1">
            <w:pPr>
              <w:pStyle w:val="ConsPlusNormal"/>
              <w:spacing w:line="276" w:lineRule="auto"/>
              <w:rPr>
                <w:rFonts w:ascii="Times New Roman" w:hAnsi="Times New Roman" w:cs="Times New Roman"/>
              </w:rPr>
            </w:pPr>
            <w:r w:rsidRPr="006D74F1">
              <w:rPr>
                <w:rFonts w:ascii="Times New Roman" w:hAnsi="Times New Roman" w:cs="Times New Roman"/>
              </w:rPr>
              <w:t>-3581,21</w:t>
            </w:r>
          </w:p>
        </w:tc>
        <w:tc>
          <w:tcPr>
            <w:tcW w:w="1170" w:type="dxa"/>
          </w:tcPr>
          <w:p w:rsidR="00602847" w:rsidRPr="00573EA3" w:rsidRDefault="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1172" w:type="dxa"/>
          </w:tcPr>
          <w:p w:rsidR="00602847" w:rsidRPr="00EE6799" w:rsidRDefault="00405D0D">
            <w:pPr>
              <w:pStyle w:val="ConsPlusNormal"/>
              <w:spacing w:line="276" w:lineRule="auto"/>
              <w:rPr>
                <w:rFonts w:ascii="Times New Roman" w:hAnsi="Times New Roman" w:cs="Times New Roman"/>
              </w:rPr>
            </w:pPr>
            <w:r>
              <w:rPr>
                <w:rFonts w:ascii="Times New Roman" w:hAnsi="Times New Roman" w:cs="Times New Roman"/>
              </w:rPr>
              <w:t>-</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1.3.</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EBITDA (прибыль до процентов, налогов и амортизации)</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602847" w:rsidRPr="006D74F1" w:rsidRDefault="006D74F1">
            <w:pPr>
              <w:pStyle w:val="ConsPlusNormal"/>
              <w:spacing w:line="276" w:lineRule="auto"/>
              <w:rPr>
                <w:rFonts w:ascii="Times New Roman" w:hAnsi="Times New Roman" w:cs="Times New Roman"/>
              </w:rPr>
            </w:pPr>
            <w:r w:rsidRPr="006D74F1">
              <w:rPr>
                <w:rFonts w:ascii="Times New Roman" w:hAnsi="Times New Roman" w:cs="Times New Roman"/>
              </w:rPr>
              <w:t>-</w:t>
            </w:r>
          </w:p>
        </w:tc>
        <w:tc>
          <w:tcPr>
            <w:tcW w:w="1170" w:type="dxa"/>
          </w:tcPr>
          <w:p w:rsidR="00602847" w:rsidRPr="00573EA3" w:rsidRDefault="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1172" w:type="dxa"/>
          </w:tcPr>
          <w:p w:rsidR="00602847" w:rsidRPr="00EE6799" w:rsidRDefault="00D91B55">
            <w:pPr>
              <w:pStyle w:val="ConsPlusNormal"/>
              <w:spacing w:line="276" w:lineRule="auto"/>
              <w:rPr>
                <w:rFonts w:ascii="Times New Roman" w:hAnsi="Times New Roman" w:cs="Times New Roman"/>
              </w:rPr>
            </w:pPr>
            <w:r>
              <w:rPr>
                <w:rFonts w:ascii="Times New Roman" w:hAnsi="Times New Roman" w:cs="Times New Roman"/>
              </w:rPr>
              <w:t>-</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1.4.</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Чистая прибыль (убыток)</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602847" w:rsidRPr="006D74F1" w:rsidRDefault="006D74F1" w:rsidP="00602847">
            <w:pPr>
              <w:pStyle w:val="ConsPlusNormal"/>
              <w:spacing w:line="276" w:lineRule="auto"/>
              <w:rPr>
                <w:rFonts w:ascii="Times New Roman" w:hAnsi="Times New Roman" w:cs="Times New Roman"/>
              </w:rPr>
            </w:pPr>
            <w:r w:rsidRPr="006D74F1">
              <w:rPr>
                <w:rFonts w:ascii="Times New Roman" w:hAnsi="Times New Roman" w:cs="Times New Roman"/>
              </w:rPr>
              <w:t>-3581,21</w:t>
            </w:r>
          </w:p>
        </w:tc>
        <w:tc>
          <w:tcPr>
            <w:tcW w:w="1170" w:type="dxa"/>
          </w:tcPr>
          <w:p w:rsidR="00602847" w:rsidRPr="00573EA3" w:rsidRDefault="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1172" w:type="dxa"/>
          </w:tcPr>
          <w:p w:rsidR="00602847" w:rsidRPr="00EE6799" w:rsidRDefault="00405D0D">
            <w:pPr>
              <w:pStyle w:val="ConsPlusNormal"/>
              <w:spacing w:line="276" w:lineRule="auto"/>
              <w:rPr>
                <w:rFonts w:ascii="Times New Roman" w:hAnsi="Times New Roman" w:cs="Times New Roman"/>
              </w:rPr>
            </w:pPr>
            <w:r>
              <w:rPr>
                <w:rFonts w:ascii="Times New Roman" w:hAnsi="Times New Roman" w:cs="Times New Roman"/>
              </w:rPr>
              <w:t>-</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2.</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Показатели рентабельности организации</w:t>
            </w:r>
          </w:p>
        </w:tc>
        <w:tc>
          <w:tcPr>
            <w:tcW w:w="1361"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573EA3" w:rsidRPr="00573EA3" w:rsidRDefault="00573EA3" w:rsidP="00573EA3">
            <w:pPr>
              <w:pStyle w:val="ConsPlusNormal"/>
              <w:spacing w:line="276" w:lineRule="auto"/>
              <w:rPr>
                <w:rFonts w:ascii="Times New Roman" w:hAnsi="Times New Roman" w:cs="Times New Roman"/>
                <w:lang w:val="en-US"/>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2.1.</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Рентабельность продаж (величина прибыли от продаж в каждом рубле выручки). Нормальное значение для отрасли электроэнергетики от 9 процентов и более</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процентов</w:t>
            </w:r>
          </w:p>
        </w:tc>
        <w:tc>
          <w:tcPr>
            <w:tcW w:w="1170" w:type="dxa"/>
          </w:tcPr>
          <w:p w:rsidR="00602847" w:rsidRPr="00EE6799" w:rsidRDefault="006D74F1">
            <w:pPr>
              <w:pStyle w:val="ConsPlusNormal"/>
              <w:spacing w:line="276" w:lineRule="auto"/>
              <w:rPr>
                <w:rFonts w:ascii="Times New Roman" w:hAnsi="Times New Roman" w:cs="Times New Roman"/>
              </w:rPr>
            </w:pPr>
            <w:r>
              <w:rPr>
                <w:rFonts w:ascii="Times New Roman" w:hAnsi="Times New Roman" w:cs="Times New Roman"/>
              </w:rPr>
              <w:t>-</w:t>
            </w:r>
          </w:p>
        </w:tc>
        <w:tc>
          <w:tcPr>
            <w:tcW w:w="1170" w:type="dxa"/>
          </w:tcPr>
          <w:p w:rsidR="00602847" w:rsidRPr="00EE6799" w:rsidRDefault="006D74F1">
            <w:pPr>
              <w:pStyle w:val="ConsPlusNormal"/>
              <w:spacing w:line="276" w:lineRule="auto"/>
              <w:rPr>
                <w:rFonts w:ascii="Times New Roman" w:hAnsi="Times New Roman" w:cs="Times New Roman"/>
              </w:rPr>
            </w:pPr>
            <w:r>
              <w:rPr>
                <w:rFonts w:ascii="Times New Roman" w:hAnsi="Times New Roman" w:cs="Times New Roman"/>
              </w:rPr>
              <w:t>-</w:t>
            </w:r>
          </w:p>
        </w:tc>
        <w:tc>
          <w:tcPr>
            <w:tcW w:w="1172" w:type="dxa"/>
          </w:tcPr>
          <w:p w:rsidR="00602847" w:rsidRPr="00EE6799" w:rsidRDefault="006D74F1">
            <w:pPr>
              <w:pStyle w:val="ConsPlusNormal"/>
              <w:spacing w:line="276" w:lineRule="auto"/>
              <w:rPr>
                <w:rFonts w:ascii="Times New Roman" w:hAnsi="Times New Roman" w:cs="Times New Roman"/>
              </w:rPr>
            </w:pPr>
            <w:r>
              <w:rPr>
                <w:rFonts w:ascii="Times New Roman" w:hAnsi="Times New Roman" w:cs="Times New Roman"/>
              </w:rPr>
              <w:t>-</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Показатели регулируемых видов деятельности организации</w:t>
            </w:r>
          </w:p>
        </w:tc>
        <w:tc>
          <w:tcPr>
            <w:tcW w:w="1361"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3.1.</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Расчетный объем услуг в части управления технологическими режимами </w:t>
            </w:r>
            <w:hyperlink r:id="rId5" w:anchor="Par1891" w:history="1">
              <w:r w:rsidRPr="00EE6799">
                <w:rPr>
                  <w:rStyle w:val="a3"/>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МВт</w:t>
            </w:r>
          </w:p>
        </w:tc>
        <w:tc>
          <w:tcPr>
            <w:tcW w:w="1170" w:type="dxa"/>
          </w:tcPr>
          <w:p w:rsidR="00602847" w:rsidRPr="00EE6799" w:rsidRDefault="003F45F4">
            <w:pPr>
              <w:pStyle w:val="ConsPlusNormal"/>
              <w:spacing w:line="276" w:lineRule="auto"/>
              <w:rPr>
                <w:rFonts w:ascii="Times New Roman" w:hAnsi="Times New Roman" w:cs="Times New Roman"/>
              </w:rPr>
            </w:pPr>
            <w:r>
              <w:rPr>
                <w:rFonts w:ascii="Times New Roman" w:hAnsi="Times New Roman" w:cs="Times New Roman"/>
              </w:rPr>
              <w:t>-</w:t>
            </w:r>
          </w:p>
        </w:tc>
        <w:tc>
          <w:tcPr>
            <w:tcW w:w="1170" w:type="dxa"/>
          </w:tcPr>
          <w:p w:rsidR="00602847" w:rsidRPr="00EE6799" w:rsidRDefault="003F45F4">
            <w:pPr>
              <w:pStyle w:val="ConsPlusNormal"/>
              <w:spacing w:line="276" w:lineRule="auto"/>
              <w:rPr>
                <w:rFonts w:ascii="Times New Roman" w:hAnsi="Times New Roman" w:cs="Times New Roman"/>
              </w:rPr>
            </w:pPr>
            <w:r>
              <w:rPr>
                <w:rFonts w:ascii="Times New Roman" w:hAnsi="Times New Roman" w:cs="Times New Roman"/>
              </w:rPr>
              <w:t>-</w:t>
            </w:r>
          </w:p>
        </w:tc>
        <w:tc>
          <w:tcPr>
            <w:tcW w:w="1172" w:type="dxa"/>
          </w:tcPr>
          <w:p w:rsidR="00602847" w:rsidRPr="00EE6799" w:rsidRDefault="003F45F4">
            <w:pPr>
              <w:pStyle w:val="ConsPlusNormal"/>
              <w:spacing w:line="276" w:lineRule="auto"/>
              <w:rPr>
                <w:rFonts w:ascii="Times New Roman" w:hAnsi="Times New Roman" w:cs="Times New Roman"/>
              </w:rPr>
            </w:pPr>
            <w:r>
              <w:rPr>
                <w:rFonts w:ascii="Times New Roman" w:hAnsi="Times New Roman" w:cs="Times New Roman"/>
              </w:rPr>
              <w:t>-</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3.2.</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Расчетный объем услуг в части обеспечения надежности </w:t>
            </w:r>
            <w:hyperlink r:id="rId6" w:anchor="Par1891" w:history="1">
              <w:r w:rsidRPr="00EE6799">
                <w:rPr>
                  <w:rStyle w:val="a3"/>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proofErr w:type="spellStart"/>
            <w:r w:rsidRPr="00EE6799">
              <w:rPr>
                <w:rFonts w:ascii="Times New Roman" w:hAnsi="Times New Roman" w:cs="Times New Roman"/>
              </w:rPr>
              <w:t>МВт·ч</w:t>
            </w:r>
            <w:proofErr w:type="spellEnd"/>
          </w:p>
        </w:tc>
        <w:tc>
          <w:tcPr>
            <w:tcW w:w="1170" w:type="dxa"/>
          </w:tcPr>
          <w:p w:rsidR="00602847" w:rsidRPr="00EE6799" w:rsidRDefault="003F45F4">
            <w:pPr>
              <w:pStyle w:val="ConsPlusNormal"/>
              <w:spacing w:line="276" w:lineRule="auto"/>
              <w:rPr>
                <w:rFonts w:ascii="Times New Roman" w:hAnsi="Times New Roman" w:cs="Times New Roman"/>
              </w:rPr>
            </w:pPr>
            <w:r>
              <w:rPr>
                <w:rFonts w:ascii="Times New Roman" w:hAnsi="Times New Roman" w:cs="Times New Roman"/>
              </w:rPr>
              <w:t>-</w:t>
            </w:r>
          </w:p>
        </w:tc>
        <w:tc>
          <w:tcPr>
            <w:tcW w:w="1170" w:type="dxa"/>
          </w:tcPr>
          <w:p w:rsidR="00602847" w:rsidRPr="00EE6799" w:rsidRDefault="003F45F4">
            <w:pPr>
              <w:pStyle w:val="ConsPlusNormal"/>
              <w:spacing w:line="276" w:lineRule="auto"/>
              <w:rPr>
                <w:rFonts w:ascii="Times New Roman" w:hAnsi="Times New Roman" w:cs="Times New Roman"/>
              </w:rPr>
            </w:pPr>
            <w:r>
              <w:rPr>
                <w:rFonts w:ascii="Times New Roman" w:hAnsi="Times New Roman" w:cs="Times New Roman"/>
              </w:rPr>
              <w:t>-</w:t>
            </w:r>
          </w:p>
        </w:tc>
        <w:tc>
          <w:tcPr>
            <w:tcW w:w="1172" w:type="dxa"/>
          </w:tcPr>
          <w:p w:rsidR="00602847" w:rsidRPr="00EE6799" w:rsidRDefault="003F45F4">
            <w:pPr>
              <w:pStyle w:val="ConsPlusNormal"/>
              <w:spacing w:line="276" w:lineRule="auto"/>
              <w:rPr>
                <w:rFonts w:ascii="Times New Roman" w:hAnsi="Times New Roman" w:cs="Times New Roman"/>
              </w:rPr>
            </w:pPr>
            <w:r>
              <w:rPr>
                <w:rFonts w:ascii="Times New Roman" w:hAnsi="Times New Roman" w:cs="Times New Roman"/>
              </w:rPr>
              <w:t>-</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3.3.</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Заявленная мощность </w:t>
            </w:r>
            <w:hyperlink r:id="rId7" w:anchor="Par1892" w:history="1">
              <w:r w:rsidRPr="00EE6799">
                <w:rPr>
                  <w:rStyle w:val="a3"/>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МВт</w:t>
            </w:r>
          </w:p>
        </w:tc>
        <w:tc>
          <w:tcPr>
            <w:tcW w:w="1170" w:type="dxa"/>
          </w:tcPr>
          <w:p w:rsidR="00602847" w:rsidRPr="00EE6799" w:rsidRDefault="00573EA3">
            <w:pPr>
              <w:pStyle w:val="ConsPlusNormal"/>
              <w:spacing w:line="276" w:lineRule="auto"/>
              <w:rPr>
                <w:rFonts w:ascii="Times New Roman" w:hAnsi="Times New Roman" w:cs="Times New Roman"/>
              </w:rPr>
            </w:pPr>
            <w:r>
              <w:rPr>
                <w:rFonts w:ascii="Times New Roman" w:hAnsi="Times New Roman" w:cs="Times New Roman"/>
              </w:rPr>
              <w:t>45,5</w:t>
            </w:r>
          </w:p>
        </w:tc>
        <w:tc>
          <w:tcPr>
            <w:tcW w:w="1170" w:type="dxa"/>
          </w:tcPr>
          <w:p w:rsidR="00602847" w:rsidRPr="00EE6799" w:rsidRDefault="00BE1E64">
            <w:pPr>
              <w:pStyle w:val="ConsPlusNormal"/>
              <w:spacing w:line="276" w:lineRule="auto"/>
              <w:rPr>
                <w:rFonts w:ascii="Times New Roman" w:hAnsi="Times New Roman" w:cs="Times New Roman"/>
              </w:rPr>
            </w:pPr>
            <w:r>
              <w:rPr>
                <w:rFonts w:ascii="Times New Roman" w:hAnsi="Times New Roman" w:cs="Times New Roman"/>
              </w:rPr>
              <w:t>43,037174</w:t>
            </w:r>
          </w:p>
        </w:tc>
        <w:tc>
          <w:tcPr>
            <w:tcW w:w="1172" w:type="dxa"/>
          </w:tcPr>
          <w:p w:rsidR="00602847" w:rsidRPr="00573EA3" w:rsidRDefault="00573EA3">
            <w:pPr>
              <w:pStyle w:val="ConsPlusNormal"/>
              <w:spacing w:line="276" w:lineRule="auto"/>
              <w:rPr>
                <w:rFonts w:ascii="Times New Roman" w:hAnsi="Times New Roman" w:cs="Times New Roman"/>
              </w:rPr>
            </w:pPr>
            <w:r>
              <w:rPr>
                <w:rFonts w:ascii="Times New Roman" w:hAnsi="Times New Roman" w:cs="Times New Roman"/>
                <w:lang w:val="en-US"/>
              </w:rPr>
              <w:t>45</w:t>
            </w:r>
            <w:r>
              <w:rPr>
                <w:rFonts w:ascii="Times New Roman" w:hAnsi="Times New Roman" w:cs="Times New Roman"/>
              </w:rPr>
              <w:t>,5</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3.4.</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Объем полезного отпуска электроэнергии - всего </w:t>
            </w:r>
            <w:hyperlink r:id="rId8" w:anchor="Par1892" w:history="1">
              <w:r w:rsidRPr="00EE6799">
                <w:rPr>
                  <w:rStyle w:val="a3"/>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 xml:space="preserve">тыс. </w:t>
            </w:r>
            <w:proofErr w:type="spellStart"/>
            <w:r w:rsidRPr="00EE6799">
              <w:rPr>
                <w:rFonts w:ascii="Times New Roman" w:hAnsi="Times New Roman" w:cs="Times New Roman"/>
              </w:rPr>
              <w:t>кВт·ч</w:t>
            </w:r>
            <w:proofErr w:type="spellEnd"/>
          </w:p>
        </w:tc>
        <w:tc>
          <w:tcPr>
            <w:tcW w:w="1170" w:type="dxa"/>
          </w:tcPr>
          <w:p w:rsidR="00602847" w:rsidRPr="00573EA3" w:rsidRDefault="00573EA3" w:rsidP="006D74F1">
            <w:pPr>
              <w:pStyle w:val="ConsPlusNormal"/>
              <w:spacing w:line="276" w:lineRule="auto"/>
              <w:rPr>
                <w:rFonts w:ascii="Times New Roman" w:hAnsi="Times New Roman" w:cs="Times New Roman"/>
                <w:lang w:val="en-US"/>
              </w:rPr>
            </w:pPr>
            <w:r w:rsidRPr="00573EA3">
              <w:rPr>
                <w:rFonts w:ascii="Times New Roman" w:hAnsi="Times New Roman" w:cs="Times New Roman"/>
              </w:rPr>
              <w:t>3</w:t>
            </w:r>
            <w:r w:rsidR="006D74F1">
              <w:rPr>
                <w:rFonts w:ascii="Times New Roman" w:hAnsi="Times New Roman" w:cs="Times New Roman"/>
              </w:rPr>
              <w:t>5</w:t>
            </w:r>
            <w:r w:rsidRPr="00573EA3">
              <w:rPr>
                <w:rFonts w:ascii="Times New Roman" w:hAnsi="Times New Roman" w:cs="Times New Roman"/>
              </w:rPr>
              <w:t>1</w:t>
            </w:r>
            <w:r w:rsidR="006D74F1">
              <w:rPr>
                <w:rFonts w:ascii="Times New Roman" w:hAnsi="Times New Roman" w:cs="Times New Roman"/>
              </w:rPr>
              <w:t>4</w:t>
            </w:r>
            <w:r>
              <w:rPr>
                <w:rFonts w:ascii="Times New Roman" w:hAnsi="Times New Roman" w:cs="Times New Roman"/>
                <w:lang w:val="en-US"/>
              </w:rPr>
              <w:t>00</w:t>
            </w:r>
          </w:p>
        </w:tc>
        <w:tc>
          <w:tcPr>
            <w:tcW w:w="1170" w:type="dxa"/>
          </w:tcPr>
          <w:p w:rsidR="00602847" w:rsidRPr="00EE6799" w:rsidRDefault="002C29BE" w:rsidP="00BE1E64">
            <w:pPr>
              <w:pStyle w:val="ConsPlusNormal"/>
              <w:spacing w:line="276" w:lineRule="auto"/>
              <w:rPr>
                <w:rFonts w:ascii="Times New Roman" w:hAnsi="Times New Roman" w:cs="Times New Roman"/>
              </w:rPr>
            </w:pPr>
            <w:r w:rsidRPr="00EE6799">
              <w:rPr>
                <w:rFonts w:ascii="Times New Roman" w:hAnsi="Times New Roman" w:cs="Times New Roman"/>
              </w:rPr>
              <w:t>352</w:t>
            </w:r>
            <w:r w:rsidR="00BE1E64">
              <w:rPr>
                <w:rFonts w:ascii="Times New Roman" w:hAnsi="Times New Roman" w:cs="Times New Roman"/>
              </w:rPr>
              <w:t>617,47</w:t>
            </w:r>
          </w:p>
        </w:tc>
        <w:tc>
          <w:tcPr>
            <w:tcW w:w="1172" w:type="dxa"/>
          </w:tcPr>
          <w:p w:rsidR="00602847" w:rsidRPr="00573EA3" w:rsidRDefault="00573EA3" w:rsidP="006D74F1">
            <w:pPr>
              <w:pStyle w:val="ConsPlusNormal"/>
              <w:spacing w:line="276" w:lineRule="auto"/>
              <w:rPr>
                <w:rFonts w:ascii="Times New Roman" w:hAnsi="Times New Roman" w:cs="Times New Roman"/>
                <w:lang w:val="en-US"/>
              </w:rPr>
            </w:pPr>
            <w:r>
              <w:rPr>
                <w:rFonts w:ascii="Times New Roman" w:hAnsi="Times New Roman" w:cs="Times New Roman"/>
                <w:lang w:val="en-US"/>
              </w:rPr>
              <w:t>3</w:t>
            </w:r>
            <w:r w:rsidR="006D74F1">
              <w:rPr>
                <w:rFonts w:ascii="Times New Roman" w:hAnsi="Times New Roman" w:cs="Times New Roman"/>
              </w:rPr>
              <w:t>5</w:t>
            </w:r>
            <w:r>
              <w:rPr>
                <w:rFonts w:ascii="Times New Roman" w:hAnsi="Times New Roman" w:cs="Times New Roman"/>
                <w:lang w:val="en-US"/>
              </w:rPr>
              <w:t>1</w:t>
            </w:r>
            <w:r w:rsidR="006D74F1">
              <w:rPr>
                <w:rFonts w:ascii="Times New Roman" w:hAnsi="Times New Roman" w:cs="Times New Roman"/>
              </w:rPr>
              <w:t>4</w:t>
            </w:r>
            <w:r>
              <w:rPr>
                <w:rFonts w:ascii="Times New Roman" w:hAnsi="Times New Roman" w:cs="Times New Roman"/>
                <w:lang w:val="en-US"/>
              </w:rPr>
              <w:t>00</w:t>
            </w:r>
          </w:p>
        </w:tc>
      </w:tr>
      <w:tr w:rsidR="00602847" w:rsidRPr="00EE6799" w:rsidTr="00C5233D">
        <w:trPr>
          <w:trHeight w:val="842"/>
        </w:trPr>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3.5.</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Объем полезного отпуска электроэнергии населению и приравненным к нему категориям потребителей &lt;3&gt;</w:t>
            </w:r>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 xml:space="preserve">тыс. </w:t>
            </w:r>
            <w:proofErr w:type="spellStart"/>
            <w:r w:rsidRPr="00EE6799">
              <w:rPr>
                <w:rFonts w:ascii="Times New Roman" w:hAnsi="Times New Roman" w:cs="Times New Roman"/>
              </w:rPr>
              <w:t>кВт·ч</w:t>
            </w:r>
            <w:proofErr w:type="spellEnd"/>
          </w:p>
        </w:tc>
        <w:tc>
          <w:tcPr>
            <w:tcW w:w="1170"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0"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0</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3.6.</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Уровень потерь электрической энергии </w:t>
            </w:r>
            <w:hyperlink r:id="rId9" w:anchor="Par1892" w:history="1">
              <w:r w:rsidRPr="00EE6799">
                <w:rPr>
                  <w:rStyle w:val="a3"/>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процентов</w:t>
            </w:r>
          </w:p>
        </w:tc>
        <w:tc>
          <w:tcPr>
            <w:tcW w:w="1170" w:type="dxa"/>
          </w:tcPr>
          <w:p w:rsidR="00602847" w:rsidRPr="00EE6799" w:rsidRDefault="006D74F1">
            <w:pPr>
              <w:pStyle w:val="ConsPlusNormal"/>
              <w:spacing w:line="276" w:lineRule="auto"/>
              <w:rPr>
                <w:rFonts w:ascii="Times New Roman" w:hAnsi="Times New Roman" w:cs="Times New Roman"/>
              </w:rPr>
            </w:pPr>
            <w:r>
              <w:rPr>
                <w:rFonts w:ascii="Times New Roman" w:hAnsi="Times New Roman" w:cs="Times New Roman"/>
              </w:rPr>
              <w:t>0,7</w:t>
            </w:r>
          </w:p>
        </w:tc>
        <w:tc>
          <w:tcPr>
            <w:tcW w:w="1170" w:type="dxa"/>
          </w:tcPr>
          <w:p w:rsidR="00602847" w:rsidRPr="00EE6799" w:rsidRDefault="006D74F1">
            <w:pPr>
              <w:pStyle w:val="ConsPlusNormal"/>
              <w:spacing w:line="276" w:lineRule="auto"/>
              <w:rPr>
                <w:rFonts w:ascii="Times New Roman" w:hAnsi="Times New Roman" w:cs="Times New Roman"/>
              </w:rPr>
            </w:pPr>
            <w:r>
              <w:rPr>
                <w:rFonts w:ascii="Times New Roman" w:hAnsi="Times New Roman" w:cs="Times New Roman"/>
              </w:rPr>
              <w:t>-</w:t>
            </w:r>
          </w:p>
        </w:tc>
        <w:tc>
          <w:tcPr>
            <w:tcW w:w="1172" w:type="dxa"/>
          </w:tcPr>
          <w:p w:rsidR="00602847" w:rsidRPr="00EE6799" w:rsidRDefault="006D74F1">
            <w:pPr>
              <w:pStyle w:val="ConsPlusNormal"/>
              <w:spacing w:line="276" w:lineRule="auto"/>
              <w:rPr>
                <w:rFonts w:ascii="Times New Roman" w:hAnsi="Times New Roman" w:cs="Times New Roman"/>
              </w:rPr>
            </w:pPr>
            <w:r>
              <w:rPr>
                <w:rFonts w:ascii="Times New Roman" w:hAnsi="Times New Roman" w:cs="Times New Roman"/>
              </w:rPr>
              <w:t>0,7</w:t>
            </w: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3.7.</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Реквизиты программы </w:t>
            </w:r>
            <w:proofErr w:type="spellStart"/>
            <w:r w:rsidRPr="00EE6799">
              <w:rPr>
                <w:rFonts w:ascii="Times New Roman" w:hAnsi="Times New Roman" w:cs="Times New Roman"/>
              </w:rPr>
              <w:t>энергоэффективности</w:t>
            </w:r>
            <w:proofErr w:type="spellEnd"/>
            <w:r w:rsidRPr="00EE6799">
              <w:rPr>
                <w:rFonts w:ascii="Times New Roman" w:hAnsi="Times New Roman" w:cs="Times New Roman"/>
              </w:rPr>
              <w:t xml:space="preserve"> (кем утверждена, дата утверждения, номер приказа) </w:t>
            </w:r>
            <w:hyperlink r:id="rId10" w:anchor="Par1892" w:history="1">
              <w:r w:rsidRPr="00EE6799">
                <w:rPr>
                  <w:rStyle w:val="a3"/>
                  <w:rFonts w:ascii="Times New Roman" w:hAnsi="Times New Roman" w:cs="Times New Roman"/>
                  <w:u w:val="none"/>
                </w:rPr>
                <w:t>&lt;***&gt;</w:t>
              </w:r>
            </w:hyperlink>
          </w:p>
        </w:tc>
        <w:tc>
          <w:tcPr>
            <w:tcW w:w="1361"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3F45F4" w:rsidRDefault="00602847">
            <w:pPr>
              <w:pStyle w:val="ConsPlusNormal"/>
              <w:spacing w:line="276" w:lineRule="auto"/>
              <w:rPr>
                <w:rFonts w:ascii="Times New Roman" w:hAnsi="Times New Roman" w:cs="Times New Roman"/>
                <w:highlight w:val="yellow"/>
              </w:rPr>
            </w:pPr>
          </w:p>
        </w:tc>
        <w:tc>
          <w:tcPr>
            <w:tcW w:w="1170" w:type="dxa"/>
          </w:tcPr>
          <w:p w:rsidR="00602847" w:rsidRPr="003F45F4" w:rsidRDefault="00602847">
            <w:pPr>
              <w:pStyle w:val="ConsPlusNormal"/>
              <w:spacing w:line="276" w:lineRule="auto"/>
              <w:rPr>
                <w:rFonts w:ascii="Times New Roman" w:hAnsi="Times New Roman" w:cs="Times New Roman"/>
                <w:highlight w:val="yellow"/>
              </w:rPr>
            </w:pPr>
          </w:p>
        </w:tc>
        <w:tc>
          <w:tcPr>
            <w:tcW w:w="1172" w:type="dxa"/>
          </w:tcPr>
          <w:p w:rsidR="00602847" w:rsidRPr="003F45F4" w:rsidRDefault="00602847">
            <w:pPr>
              <w:pStyle w:val="ConsPlusNormal"/>
              <w:spacing w:line="276" w:lineRule="auto"/>
              <w:rPr>
                <w:rFonts w:ascii="Times New Roman" w:hAnsi="Times New Roman" w:cs="Times New Roman"/>
                <w:highlight w:val="yellow"/>
              </w:rPr>
            </w:pP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3.8.</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 xml:space="preserve">Суммарный объем производства и потребления электрической энергии участниками оптового рынка электрической энергии </w:t>
            </w:r>
            <w:hyperlink r:id="rId11" w:anchor="Par1893" w:history="1">
              <w:r w:rsidRPr="00EE6799">
                <w:rPr>
                  <w:rStyle w:val="a3"/>
                  <w:rFonts w:ascii="Times New Roman" w:hAnsi="Times New Roman" w:cs="Times New Roman"/>
                  <w:u w:val="none"/>
                </w:rPr>
                <w:t>&lt;****&gt;</w:t>
              </w:r>
            </w:hyperlink>
          </w:p>
        </w:tc>
        <w:tc>
          <w:tcPr>
            <w:tcW w:w="1361" w:type="dxa"/>
            <w:hideMark/>
          </w:tcPr>
          <w:p w:rsidR="00602847" w:rsidRPr="00EE6799" w:rsidRDefault="00602847">
            <w:pPr>
              <w:pStyle w:val="ConsPlusNormal"/>
              <w:spacing w:line="276" w:lineRule="auto"/>
              <w:jc w:val="center"/>
              <w:rPr>
                <w:rFonts w:ascii="Times New Roman" w:hAnsi="Times New Roman" w:cs="Times New Roman"/>
              </w:rPr>
            </w:pPr>
            <w:proofErr w:type="spellStart"/>
            <w:r w:rsidRPr="00EE6799">
              <w:rPr>
                <w:rFonts w:ascii="Times New Roman" w:hAnsi="Times New Roman" w:cs="Times New Roman"/>
              </w:rPr>
              <w:t>МВт·ч</w:t>
            </w:r>
            <w:proofErr w:type="spellEnd"/>
          </w:p>
        </w:tc>
        <w:tc>
          <w:tcPr>
            <w:tcW w:w="1170" w:type="dxa"/>
          </w:tcPr>
          <w:p w:rsidR="00602847" w:rsidRPr="00EE6799" w:rsidRDefault="00602847">
            <w:pPr>
              <w:pStyle w:val="ConsPlusNormal"/>
              <w:spacing w:line="276" w:lineRule="auto"/>
              <w:rPr>
                <w:rFonts w:ascii="Times New Roman" w:hAnsi="Times New Roman" w:cs="Times New Roman"/>
              </w:rPr>
            </w:pPr>
          </w:p>
        </w:tc>
        <w:tc>
          <w:tcPr>
            <w:tcW w:w="1170" w:type="dxa"/>
          </w:tcPr>
          <w:p w:rsidR="00602847" w:rsidRPr="00EE6799" w:rsidRDefault="00602847">
            <w:pPr>
              <w:pStyle w:val="ConsPlusNormal"/>
              <w:spacing w:line="276" w:lineRule="auto"/>
              <w:rPr>
                <w:rFonts w:ascii="Times New Roman" w:hAnsi="Times New Roman" w:cs="Times New Roman"/>
              </w:rPr>
            </w:pPr>
          </w:p>
        </w:tc>
        <w:tc>
          <w:tcPr>
            <w:tcW w:w="1172" w:type="dxa"/>
          </w:tcPr>
          <w:p w:rsidR="00602847" w:rsidRPr="00EE6799" w:rsidRDefault="00602847">
            <w:pPr>
              <w:pStyle w:val="ConsPlusNormal"/>
              <w:spacing w:line="276" w:lineRule="auto"/>
              <w:rPr>
                <w:rFonts w:ascii="Times New Roman" w:hAnsi="Times New Roman" w:cs="Times New Roman"/>
              </w:rPr>
            </w:pPr>
          </w:p>
        </w:tc>
      </w:tr>
      <w:tr w:rsidR="00602847" w:rsidRPr="00EE6799" w:rsidTr="00C5233D">
        <w:tc>
          <w:tcPr>
            <w:tcW w:w="964" w:type="dxa"/>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4.</w:t>
            </w:r>
          </w:p>
        </w:tc>
        <w:tc>
          <w:tcPr>
            <w:tcW w:w="3231" w:type="dxa"/>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Необходимая валовая выручка по регулируемым видам деятельности организации - всего</w:t>
            </w:r>
          </w:p>
        </w:tc>
        <w:tc>
          <w:tcPr>
            <w:tcW w:w="1361" w:type="dxa"/>
          </w:tcPr>
          <w:p w:rsidR="00602847" w:rsidRPr="00EE6799" w:rsidRDefault="003F45F4" w:rsidP="003F45F4">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3F45F4" w:rsidRDefault="003F45F4" w:rsidP="003F45F4">
            <w:pPr>
              <w:pStyle w:val="ConsPlusNormal"/>
              <w:spacing w:line="276" w:lineRule="auto"/>
              <w:rPr>
                <w:rFonts w:ascii="Times New Roman" w:hAnsi="Times New Roman" w:cs="Times New Roman"/>
                <w:lang w:val="en-US"/>
              </w:rPr>
            </w:pPr>
            <w:r>
              <w:rPr>
                <w:rFonts w:ascii="Times New Roman" w:hAnsi="Times New Roman" w:cs="Times New Roman"/>
              </w:rPr>
              <w:t>141 889,79</w:t>
            </w:r>
          </w:p>
          <w:p w:rsidR="00602847" w:rsidRPr="00EE6799" w:rsidRDefault="00602847">
            <w:pPr>
              <w:pStyle w:val="ConsPlusNormal"/>
              <w:spacing w:line="276" w:lineRule="auto"/>
              <w:rPr>
                <w:rFonts w:ascii="Times New Roman" w:hAnsi="Times New Roman" w:cs="Times New Roman"/>
              </w:rPr>
            </w:pPr>
          </w:p>
        </w:tc>
        <w:tc>
          <w:tcPr>
            <w:tcW w:w="1170" w:type="dxa"/>
          </w:tcPr>
          <w:p w:rsidR="003F45F4" w:rsidRDefault="003F45F4" w:rsidP="003F45F4">
            <w:pPr>
              <w:pStyle w:val="ConsPlusNormal"/>
              <w:spacing w:line="276" w:lineRule="auto"/>
              <w:rPr>
                <w:rFonts w:ascii="Times New Roman" w:hAnsi="Times New Roman" w:cs="Times New Roman"/>
                <w:lang w:val="en-US"/>
              </w:rPr>
            </w:pPr>
            <w:r>
              <w:rPr>
                <w:rFonts w:ascii="Times New Roman" w:hAnsi="Times New Roman" w:cs="Times New Roman"/>
              </w:rPr>
              <w:t>35 380,26</w:t>
            </w:r>
          </w:p>
          <w:p w:rsidR="00602847" w:rsidRPr="00EE6799" w:rsidRDefault="00602847">
            <w:pPr>
              <w:pStyle w:val="ConsPlusNormal"/>
              <w:spacing w:line="276" w:lineRule="auto"/>
              <w:rPr>
                <w:rFonts w:ascii="Times New Roman" w:hAnsi="Times New Roman" w:cs="Times New Roman"/>
              </w:rPr>
            </w:pPr>
          </w:p>
        </w:tc>
        <w:tc>
          <w:tcPr>
            <w:tcW w:w="1172" w:type="dxa"/>
          </w:tcPr>
          <w:p w:rsidR="003F45F4" w:rsidRDefault="003F45F4" w:rsidP="003F45F4">
            <w:pPr>
              <w:pStyle w:val="ConsPlusNormal"/>
              <w:spacing w:line="276" w:lineRule="auto"/>
              <w:rPr>
                <w:rFonts w:ascii="Times New Roman" w:hAnsi="Times New Roman" w:cs="Times New Roman"/>
                <w:lang w:val="en-US"/>
              </w:rPr>
            </w:pPr>
            <w:r>
              <w:rPr>
                <w:rFonts w:ascii="Times New Roman" w:hAnsi="Times New Roman" w:cs="Times New Roman"/>
              </w:rPr>
              <w:t>51 545,64</w:t>
            </w:r>
          </w:p>
          <w:p w:rsidR="00602847" w:rsidRPr="00EE6799" w:rsidRDefault="00602847">
            <w:pPr>
              <w:pStyle w:val="ConsPlusNormal"/>
              <w:spacing w:line="276" w:lineRule="auto"/>
              <w:rPr>
                <w:rFonts w:ascii="Times New Roman" w:hAnsi="Times New Roman" w:cs="Times New Roman"/>
              </w:rPr>
            </w:pP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bookmarkStart w:id="0" w:name="Par631"/>
            <w:bookmarkEnd w:id="0"/>
            <w:r w:rsidRPr="00EE6799">
              <w:rPr>
                <w:rFonts w:ascii="Times New Roman" w:hAnsi="Times New Roman" w:cs="Times New Roman"/>
              </w:rPr>
              <w:t>4.1.</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Расходы, связанные с производством и реализацией товаров, работ и услуг </w:t>
            </w:r>
            <w:hyperlink r:id="rId12" w:anchor="Par1891" w:history="1">
              <w:r w:rsidRPr="00EE6799">
                <w:rPr>
                  <w:rStyle w:val="a3"/>
                  <w:rFonts w:ascii="Times New Roman" w:hAnsi="Times New Roman" w:cs="Times New Roman"/>
                  <w:u w:val="none"/>
                </w:rPr>
                <w:t>&lt;**&gt;</w:t>
              </w:r>
            </w:hyperlink>
            <w:r w:rsidRPr="00EE6799">
              <w:rPr>
                <w:rFonts w:ascii="Times New Roman" w:hAnsi="Times New Roman" w:cs="Times New Roman"/>
              </w:rPr>
              <w:t xml:space="preserve">, </w:t>
            </w:r>
            <w:hyperlink r:id="rId13" w:anchor="Par1892" w:history="1">
              <w:r w:rsidRPr="00EE6799">
                <w:rPr>
                  <w:rStyle w:val="a3"/>
                  <w:rFonts w:ascii="Times New Roman" w:hAnsi="Times New Roman" w:cs="Times New Roman"/>
                  <w:u w:val="none"/>
                </w:rPr>
                <w:t>&lt;****&gt;</w:t>
              </w:r>
            </w:hyperlink>
            <w:r w:rsidRPr="00EE6799">
              <w:rPr>
                <w:rFonts w:ascii="Times New Roman" w:hAnsi="Times New Roman" w:cs="Times New Roman"/>
              </w:rPr>
              <w:t>;</w:t>
            </w:r>
          </w:p>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операционные (подконтрольные) расходы </w:t>
            </w:r>
            <w:hyperlink r:id="rId14" w:anchor="Par1892" w:history="1">
              <w:r w:rsidRPr="00EE6799">
                <w:rPr>
                  <w:rStyle w:val="a3"/>
                  <w:rFonts w:ascii="Times New Roman" w:hAnsi="Times New Roman" w:cs="Times New Roman"/>
                  <w:u w:val="none"/>
                </w:rPr>
                <w:t>&lt;***&gt;</w:t>
              </w:r>
            </w:hyperlink>
            <w:r w:rsidRPr="00EE6799">
              <w:rPr>
                <w:rFonts w:ascii="Times New Roman" w:hAnsi="Times New Roman" w:cs="Times New Roman"/>
              </w:rPr>
              <w:t xml:space="preserve"> - всего</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EE6799" w:rsidRDefault="00EE6799" w:rsidP="00272FD9">
            <w:pPr>
              <w:pStyle w:val="ConsPlusNormal"/>
              <w:spacing w:line="276" w:lineRule="auto"/>
              <w:rPr>
                <w:rFonts w:ascii="Times New Roman" w:hAnsi="Times New Roman" w:cs="Times New Roman"/>
                <w:lang w:val="en-US"/>
              </w:rPr>
            </w:pPr>
          </w:p>
          <w:p w:rsidR="00EE6799" w:rsidRDefault="00EE6799" w:rsidP="00272FD9">
            <w:pPr>
              <w:pStyle w:val="ConsPlusNormal"/>
              <w:spacing w:line="276" w:lineRule="auto"/>
              <w:rPr>
                <w:rFonts w:ascii="Times New Roman" w:hAnsi="Times New Roman" w:cs="Times New Roman"/>
                <w:lang w:val="en-US"/>
              </w:rPr>
            </w:pPr>
          </w:p>
          <w:p w:rsidR="00EE6799" w:rsidRPr="00EE6799" w:rsidRDefault="00BE1E64" w:rsidP="00272FD9">
            <w:pPr>
              <w:pStyle w:val="ConsPlusNormal"/>
              <w:spacing w:line="276" w:lineRule="auto"/>
              <w:rPr>
                <w:rFonts w:ascii="Times New Roman" w:hAnsi="Times New Roman" w:cs="Times New Roman"/>
              </w:rPr>
            </w:pPr>
            <w:r>
              <w:rPr>
                <w:rFonts w:ascii="Times New Roman" w:hAnsi="Times New Roman" w:cs="Times New Roman"/>
              </w:rPr>
              <w:t>108 600,97</w:t>
            </w:r>
          </w:p>
        </w:tc>
        <w:tc>
          <w:tcPr>
            <w:tcW w:w="1170" w:type="dxa"/>
          </w:tcPr>
          <w:p w:rsidR="00EE6799" w:rsidRDefault="00EE6799" w:rsidP="00272FD9">
            <w:pPr>
              <w:pStyle w:val="ConsPlusNormal"/>
              <w:spacing w:line="276" w:lineRule="auto"/>
              <w:rPr>
                <w:rFonts w:ascii="Times New Roman" w:hAnsi="Times New Roman" w:cs="Times New Roman"/>
                <w:lang w:val="en-US"/>
              </w:rPr>
            </w:pPr>
          </w:p>
          <w:p w:rsidR="00EE6799" w:rsidRDefault="00EE6799" w:rsidP="00272FD9">
            <w:pPr>
              <w:pStyle w:val="ConsPlusNormal"/>
              <w:spacing w:line="276" w:lineRule="auto"/>
              <w:rPr>
                <w:rFonts w:ascii="Times New Roman" w:hAnsi="Times New Roman" w:cs="Times New Roman"/>
                <w:lang w:val="en-US"/>
              </w:rPr>
            </w:pPr>
          </w:p>
          <w:p w:rsidR="00EE6799" w:rsidRPr="00BE1E64" w:rsidRDefault="00BE1E64" w:rsidP="00272FD9">
            <w:pPr>
              <w:pStyle w:val="ConsPlusNormal"/>
              <w:spacing w:line="276" w:lineRule="auto"/>
              <w:rPr>
                <w:rFonts w:ascii="Times New Roman" w:hAnsi="Times New Roman" w:cs="Times New Roman"/>
              </w:rPr>
            </w:pPr>
            <w:r>
              <w:rPr>
                <w:rFonts w:ascii="Times New Roman" w:hAnsi="Times New Roman" w:cs="Times New Roman"/>
              </w:rPr>
              <w:t>9 364,33</w:t>
            </w:r>
          </w:p>
        </w:tc>
        <w:tc>
          <w:tcPr>
            <w:tcW w:w="1172" w:type="dxa"/>
          </w:tcPr>
          <w:p w:rsidR="00EE6799" w:rsidRDefault="00EE6799" w:rsidP="00272FD9">
            <w:pPr>
              <w:pStyle w:val="ConsPlusNormal"/>
              <w:spacing w:line="276" w:lineRule="auto"/>
              <w:rPr>
                <w:rFonts w:ascii="Times New Roman" w:hAnsi="Times New Roman" w:cs="Times New Roman"/>
                <w:lang w:val="en-US"/>
              </w:rPr>
            </w:pPr>
          </w:p>
          <w:p w:rsidR="00EE6799" w:rsidRDefault="00EE6799" w:rsidP="00272FD9">
            <w:pPr>
              <w:pStyle w:val="ConsPlusNormal"/>
              <w:spacing w:line="276" w:lineRule="auto"/>
              <w:rPr>
                <w:rFonts w:ascii="Times New Roman" w:hAnsi="Times New Roman" w:cs="Times New Roman"/>
                <w:lang w:val="en-US"/>
              </w:rPr>
            </w:pPr>
          </w:p>
          <w:p w:rsidR="00EE6799" w:rsidRPr="00BE1E64" w:rsidRDefault="00BE1E64" w:rsidP="00272FD9">
            <w:pPr>
              <w:pStyle w:val="ConsPlusNormal"/>
              <w:spacing w:line="276" w:lineRule="auto"/>
              <w:rPr>
                <w:rFonts w:ascii="Times New Roman" w:hAnsi="Times New Roman" w:cs="Times New Roman"/>
              </w:rPr>
            </w:pPr>
            <w:r>
              <w:rPr>
                <w:rFonts w:ascii="Times New Roman" w:hAnsi="Times New Roman" w:cs="Times New Roman"/>
              </w:rPr>
              <w:t>9 410,51</w:t>
            </w:r>
          </w:p>
        </w:tc>
      </w:tr>
      <w:tr w:rsidR="008E2322" w:rsidRPr="00EE6799" w:rsidTr="00C5233D">
        <w:tc>
          <w:tcPr>
            <w:tcW w:w="964" w:type="dxa"/>
          </w:tcPr>
          <w:p w:rsidR="008E2322" w:rsidRPr="00EE6799" w:rsidRDefault="008E2322">
            <w:pPr>
              <w:pStyle w:val="ConsPlusNormal"/>
              <w:spacing w:line="276" w:lineRule="auto"/>
              <w:rPr>
                <w:rFonts w:ascii="Times New Roman" w:hAnsi="Times New Roman" w:cs="Times New Roman"/>
              </w:rPr>
            </w:pP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в том числе:</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C5233D">
        <w:tc>
          <w:tcPr>
            <w:tcW w:w="964" w:type="dxa"/>
          </w:tcPr>
          <w:p w:rsidR="008E2322" w:rsidRPr="00EE6799" w:rsidRDefault="008E2322">
            <w:pPr>
              <w:pStyle w:val="ConsPlusNormal"/>
              <w:spacing w:line="276" w:lineRule="auto"/>
              <w:rPr>
                <w:rFonts w:ascii="Times New Roman" w:hAnsi="Times New Roman" w:cs="Times New Roman"/>
              </w:rPr>
            </w:pP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оплата труда</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25 510,79</w:t>
            </w:r>
          </w:p>
        </w:tc>
        <w:tc>
          <w:tcPr>
            <w:tcW w:w="1170"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7 548,02</w:t>
            </w:r>
          </w:p>
        </w:tc>
        <w:tc>
          <w:tcPr>
            <w:tcW w:w="1172"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7 585,24</w:t>
            </w:r>
          </w:p>
        </w:tc>
      </w:tr>
      <w:tr w:rsidR="008E2322" w:rsidRPr="00EE6799" w:rsidTr="00C5233D">
        <w:tc>
          <w:tcPr>
            <w:tcW w:w="964" w:type="dxa"/>
          </w:tcPr>
          <w:p w:rsidR="008E2322" w:rsidRPr="00EE6799" w:rsidRDefault="008E2322">
            <w:pPr>
              <w:pStyle w:val="ConsPlusNormal"/>
              <w:spacing w:line="276" w:lineRule="auto"/>
              <w:rPr>
                <w:rFonts w:ascii="Times New Roman" w:hAnsi="Times New Roman" w:cs="Times New Roman"/>
              </w:rPr>
            </w:pP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ремонт основных фондов</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40 573,71</w:t>
            </w:r>
          </w:p>
        </w:tc>
        <w:tc>
          <w:tcPr>
            <w:tcW w:w="1170"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1 816,31</w:t>
            </w:r>
          </w:p>
        </w:tc>
        <w:tc>
          <w:tcPr>
            <w:tcW w:w="1172"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1 825,27</w:t>
            </w:r>
          </w:p>
        </w:tc>
      </w:tr>
      <w:tr w:rsidR="008E2322" w:rsidRPr="00EE6799" w:rsidTr="00C5233D">
        <w:tc>
          <w:tcPr>
            <w:tcW w:w="964" w:type="dxa"/>
          </w:tcPr>
          <w:p w:rsidR="008E2322" w:rsidRPr="00EE6799" w:rsidRDefault="008E2322">
            <w:pPr>
              <w:pStyle w:val="ConsPlusNormal"/>
              <w:spacing w:line="276" w:lineRule="auto"/>
              <w:rPr>
                <w:rFonts w:ascii="Times New Roman" w:hAnsi="Times New Roman" w:cs="Times New Roman"/>
              </w:rPr>
            </w:pP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материальные затраты</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4.2.</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Расходы, за исключением указанных в </w:t>
            </w:r>
            <w:hyperlink r:id="rId15" w:anchor="Par631" w:history="1">
              <w:r w:rsidRPr="00EE6799">
                <w:rPr>
                  <w:rStyle w:val="a3"/>
                  <w:rFonts w:ascii="Times New Roman" w:hAnsi="Times New Roman" w:cs="Times New Roman"/>
                  <w:u w:val="none"/>
                </w:rPr>
                <w:t>позиции 4.1</w:t>
              </w:r>
            </w:hyperlink>
            <w:r w:rsidRPr="00EE6799">
              <w:rPr>
                <w:rFonts w:ascii="Times New Roman" w:hAnsi="Times New Roman" w:cs="Times New Roman"/>
              </w:rPr>
              <w:t xml:space="preserve"> </w:t>
            </w:r>
            <w:hyperlink r:id="rId16" w:anchor="Par1891" w:history="1">
              <w:r w:rsidRPr="00EE6799">
                <w:rPr>
                  <w:rStyle w:val="a3"/>
                  <w:rFonts w:ascii="Times New Roman" w:hAnsi="Times New Roman" w:cs="Times New Roman"/>
                  <w:u w:val="none"/>
                </w:rPr>
                <w:t>&lt;**&gt;</w:t>
              </w:r>
            </w:hyperlink>
            <w:r w:rsidRPr="00EE6799">
              <w:rPr>
                <w:rFonts w:ascii="Times New Roman" w:hAnsi="Times New Roman" w:cs="Times New Roman"/>
              </w:rPr>
              <w:t xml:space="preserve">, </w:t>
            </w:r>
            <w:hyperlink r:id="rId17" w:anchor="Par1893" w:history="1">
              <w:r w:rsidRPr="00EE6799">
                <w:rPr>
                  <w:rStyle w:val="a3"/>
                  <w:rFonts w:ascii="Times New Roman" w:hAnsi="Times New Roman" w:cs="Times New Roman"/>
                  <w:u w:val="none"/>
                </w:rPr>
                <w:t>&lt;****&gt;</w:t>
              </w:r>
            </w:hyperlink>
            <w:r w:rsidRPr="00EE6799">
              <w:rPr>
                <w:rFonts w:ascii="Times New Roman" w:hAnsi="Times New Roman" w:cs="Times New Roman"/>
              </w:rPr>
              <w:t>;</w:t>
            </w:r>
          </w:p>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неподконтрольные расходы </w:t>
            </w:r>
            <w:hyperlink r:id="rId18" w:anchor="Par1892" w:history="1">
              <w:r w:rsidRPr="00EE6799">
                <w:rPr>
                  <w:rStyle w:val="a3"/>
                  <w:rFonts w:ascii="Times New Roman" w:hAnsi="Times New Roman" w:cs="Times New Roman"/>
                  <w:u w:val="none"/>
                </w:rPr>
                <w:t>&lt;***&gt;</w:t>
              </w:r>
            </w:hyperlink>
            <w:r w:rsidRPr="00EE6799">
              <w:rPr>
                <w:rFonts w:ascii="Times New Roman" w:hAnsi="Times New Roman" w:cs="Times New Roman"/>
              </w:rPr>
              <w:t xml:space="preserve"> - всего </w:t>
            </w:r>
            <w:hyperlink r:id="rId19" w:anchor="Par1892" w:history="1">
              <w:r w:rsidRPr="00EE6799">
                <w:rPr>
                  <w:rStyle w:val="a3"/>
                  <w:rFonts w:ascii="Times New Roman" w:hAnsi="Times New Roman" w:cs="Times New Roman"/>
                  <w:u w:val="none"/>
                </w:rPr>
                <w:t>&lt;***&gt;</w:t>
              </w:r>
            </w:hyperlink>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33 288,82</w:t>
            </w:r>
          </w:p>
        </w:tc>
        <w:tc>
          <w:tcPr>
            <w:tcW w:w="1170"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26 015,93</w:t>
            </w:r>
          </w:p>
        </w:tc>
        <w:tc>
          <w:tcPr>
            <w:tcW w:w="1172"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26 304,34</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4.3.</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Выпадающие, излишние доходы (расходы) прошлых лет</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15 830,78</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4.4.</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Инвестиции, осуществляемые за счет тарифных источников</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0"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1172" w:type="dxa"/>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0</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4.4.1.</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Реквизиты инвестиционной программы (кем утверждена, дата утверждения, номер приказа)</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3512" w:type="dxa"/>
            <w:gridSpan w:val="3"/>
          </w:tcPr>
          <w:p w:rsidR="008E2322" w:rsidRPr="00EE6799" w:rsidRDefault="008E2322" w:rsidP="00C5233D">
            <w:pPr>
              <w:pStyle w:val="ConsPlusNormal"/>
              <w:spacing w:line="276" w:lineRule="auto"/>
              <w:jc w:val="center"/>
              <w:rPr>
                <w:rFonts w:ascii="Times New Roman" w:hAnsi="Times New Roman" w:cs="Times New Roman"/>
              </w:rPr>
            </w:pPr>
            <w:r w:rsidRPr="00EE6799">
              <w:rPr>
                <w:rFonts w:ascii="Times New Roman" w:hAnsi="Times New Roman" w:cs="Times New Roman"/>
              </w:rPr>
              <w:t>Не утверждалась</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4.5.</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Объем условных единиц </w:t>
            </w:r>
            <w:hyperlink r:id="rId20" w:anchor="Par1892" w:history="1">
              <w:r w:rsidRPr="00EE6799">
                <w:rPr>
                  <w:rStyle w:val="a3"/>
                  <w:rFonts w:ascii="Times New Roman" w:hAnsi="Times New Roman" w:cs="Times New Roman"/>
                  <w:u w:val="none"/>
                </w:rPr>
                <w:t>&lt;***&gt;</w:t>
              </w:r>
            </w:hyperlink>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у.е.</w:t>
            </w:r>
          </w:p>
        </w:tc>
        <w:tc>
          <w:tcPr>
            <w:tcW w:w="1170" w:type="dxa"/>
          </w:tcPr>
          <w:p w:rsidR="008E2322" w:rsidRPr="00EE6799" w:rsidRDefault="00EE6799">
            <w:pPr>
              <w:pStyle w:val="ConsPlusNormal"/>
              <w:spacing w:line="276" w:lineRule="auto"/>
              <w:rPr>
                <w:rFonts w:ascii="Times New Roman" w:hAnsi="Times New Roman" w:cs="Times New Roman"/>
              </w:rPr>
            </w:pPr>
            <w:r>
              <w:rPr>
                <w:rFonts w:ascii="Times New Roman" w:hAnsi="Times New Roman" w:cs="Times New Roman"/>
              </w:rPr>
              <w:t>2979,2</w:t>
            </w:r>
          </w:p>
        </w:tc>
        <w:tc>
          <w:tcPr>
            <w:tcW w:w="1170" w:type="dxa"/>
          </w:tcPr>
          <w:p w:rsidR="008E2322" w:rsidRPr="00EE6799" w:rsidRDefault="00EE6799" w:rsidP="003F45F4">
            <w:pPr>
              <w:pStyle w:val="ConsPlusNormal"/>
              <w:spacing w:line="276" w:lineRule="auto"/>
              <w:rPr>
                <w:rFonts w:ascii="Times New Roman" w:hAnsi="Times New Roman" w:cs="Times New Roman"/>
              </w:rPr>
            </w:pPr>
            <w:r>
              <w:rPr>
                <w:rFonts w:ascii="Times New Roman" w:hAnsi="Times New Roman" w:cs="Times New Roman"/>
              </w:rPr>
              <w:t>1001,9</w:t>
            </w:r>
            <w:r w:rsidR="003F45F4">
              <w:rPr>
                <w:rFonts w:ascii="Times New Roman" w:hAnsi="Times New Roman" w:cs="Times New Roman"/>
              </w:rPr>
              <w:t>87</w:t>
            </w:r>
          </w:p>
        </w:tc>
        <w:tc>
          <w:tcPr>
            <w:tcW w:w="1172" w:type="dxa"/>
          </w:tcPr>
          <w:p w:rsidR="008E2322" w:rsidRPr="00EE6799" w:rsidRDefault="008E2322" w:rsidP="003F45F4">
            <w:pPr>
              <w:pStyle w:val="ConsPlusNormal"/>
              <w:spacing w:line="276" w:lineRule="auto"/>
              <w:rPr>
                <w:rFonts w:ascii="Times New Roman" w:hAnsi="Times New Roman" w:cs="Times New Roman"/>
              </w:rPr>
            </w:pPr>
            <w:r w:rsidRPr="00EE6799">
              <w:rPr>
                <w:rFonts w:ascii="Times New Roman" w:hAnsi="Times New Roman" w:cs="Times New Roman"/>
              </w:rPr>
              <w:t>1001,9</w:t>
            </w:r>
            <w:r w:rsidR="003F45F4">
              <w:rPr>
                <w:rFonts w:ascii="Times New Roman" w:hAnsi="Times New Roman" w:cs="Times New Roman"/>
              </w:rPr>
              <w:t>87</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4.6.</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 xml:space="preserve">Операционные (подконтрольные) расходы на условную единицу </w:t>
            </w:r>
            <w:hyperlink r:id="rId21" w:anchor="Par1892" w:history="1">
              <w:r w:rsidRPr="00EE6799">
                <w:rPr>
                  <w:rStyle w:val="a3"/>
                  <w:rFonts w:ascii="Times New Roman" w:hAnsi="Times New Roman" w:cs="Times New Roman"/>
                  <w:u w:val="none"/>
                </w:rPr>
                <w:t>&lt;***&gt;</w:t>
              </w:r>
            </w:hyperlink>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 (у.е.)</w:t>
            </w:r>
          </w:p>
        </w:tc>
        <w:tc>
          <w:tcPr>
            <w:tcW w:w="1170" w:type="dxa"/>
          </w:tcPr>
          <w:p w:rsidR="008E2322" w:rsidRPr="00EE6799" w:rsidRDefault="00EE6799" w:rsidP="00BE1E64">
            <w:pPr>
              <w:pStyle w:val="ConsPlusNormal"/>
              <w:spacing w:line="276" w:lineRule="auto"/>
              <w:rPr>
                <w:rFonts w:ascii="Times New Roman" w:hAnsi="Times New Roman" w:cs="Times New Roman"/>
              </w:rPr>
            </w:pPr>
            <w:r>
              <w:rPr>
                <w:rFonts w:ascii="Times New Roman" w:hAnsi="Times New Roman" w:cs="Times New Roman"/>
              </w:rPr>
              <w:t>3</w:t>
            </w:r>
            <w:r w:rsidR="00BE1E64">
              <w:rPr>
                <w:rFonts w:ascii="Times New Roman" w:hAnsi="Times New Roman" w:cs="Times New Roman"/>
              </w:rPr>
              <w:t>6,453</w:t>
            </w:r>
          </w:p>
        </w:tc>
        <w:tc>
          <w:tcPr>
            <w:tcW w:w="1170"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9,346</w:t>
            </w:r>
          </w:p>
        </w:tc>
        <w:tc>
          <w:tcPr>
            <w:tcW w:w="1172" w:type="dxa"/>
          </w:tcPr>
          <w:p w:rsidR="008E2322" w:rsidRPr="00EE6799" w:rsidRDefault="00BE1E64" w:rsidP="00BE1E64">
            <w:pPr>
              <w:pStyle w:val="ConsPlusNormal"/>
              <w:spacing w:line="276" w:lineRule="auto"/>
              <w:rPr>
                <w:rFonts w:ascii="Times New Roman" w:hAnsi="Times New Roman" w:cs="Times New Roman"/>
              </w:rPr>
            </w:pPr>
            <w:r>
              <w:rPr>
                <w:rFonts w:ascii="Times New Roman" w:hAnsi="Times New Roman" w:cs="Times New Roman"/>
              </w:rPr>
              <w:t>9,392</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5.</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Показатели численности персонала и фонда оплаты труда по регулируемым видам деятельности</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5.1.</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Среднесписочная численность персонала</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человек</w:t>
            </w:r>
          </w:p>
        </w:tc>
        <w:tc>
          <w:tcPr>
            <w:tcW w:w="1170"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55</w:t>
            </w:r>
          </w:p>
        </w:tc>
        <w:tc>
          <w:tcPr>
            <w:tcW w:w="1170"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19</w:t>
            </w:r>
          </w:p>
        </w:tc>
        <w:tc>
          <w:tcPr>
            <w:tcW w:w="1172"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19</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5.2.</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Среднемесячная заработная плата на одного работника</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 на человека</w:t>
            </w:r>
          </w:p>
        </w:tc>
        <w:tc>
          <w:tcPr>
            <w:tcW w:w="1170"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38,653</w:t>
            </w:r>
          </w:p>
        </w:tc>
        <w:tc>
          <w:tcPr>
            <w:tcW w:w="1170" w:type="dxa"/>
          </w:tcPr>
          <w:p w:rsidR="008E2322" w:rsidRPr="00EE6799" w:rsidRDefault="00BE1E64" w:rsidP="00BE1E64">
            <w:pPr>
              <w:pStyle w:val="ConsPlusNormal"/>
              <w:spacing w:line="276" w:lineRule="auto"/>
              <w:rPr>
                <w:rFonts w:ascii="Times New Roman" w:hAnsi="Times New Roman" w:cs="Times New Roman"/>
              </w:rPr>
            </w:pPr>
            <w:r>
              <w:rPr>
                <w:rFonts w:ascii="Times New Roman" w:hAnsi="Times New Roman" w:cs="Times New Roman"/>
              </w:rPr>
              <w:t>32,722</w:t>
            </w:r>
          </w:p>
        </w:tc>
        <w:tc>
          <w:tcPr>
            <w:tcW w:w="1172" w:type="dxa"/>
          </w:tcPr>
          <w:p w:rsidR="008E2322" w:rsidRPr="00EE6799" w:rsidRDefault="00BE1E64">
            <w:pPr>
              <w:pStyle w:val="ConsPlusNormal"/>
              <w:spacing w:line="276" w:lineRule="auto"/>
              <w:rPr>
                <w:rFonts w:ascii="Times New Roman" w:hAnsi="Times New Roman" w:cs="Times New Roman"/>
              </w:rPr>
            </w:pPr>
            <w:r>
              <w:rPr>
                <w:rFonts w:ascii="Times New Roman" w:hAnsi="Times New Roman" w:cs="Times New Roman"/>
              </w:rPr>
              <w:t>33,269</w:t>
            </w: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5.3.</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Реквизиты отраслевого тарифного соглашения (дата утверждения, срок действия)</w:t>
            </w:r>
          </w:p>
        </w:tc>
        <w:tc>
          <w:tcPr>
            <w:tcW w:w="1361"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6.</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Уставный капитал (складочный капитал, уставный фонд, вклады товарищей)</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r w:rsidR="008E2322" w:rsidRPr="00EE6799" w:rsidTr="00C5233D">
        <w:tc>
          <w:tcPr>
            <w:tcW w:w="964"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7.</w:t>
            </w:r>
          </w:p>
        </w:tc>
        <w:tc>
          <w:tcPr>
            <w:tcW w:w="3231" w:type="dxa"/>
            <w:hideMark/>
          </w:tcPr>
          <w:p w:rsidR="008E2322" w:rsidRPr="00EE6799" w:rsidRDefault="008E2322">
            <w:pPr>
              <w:pStyle w:val="ConsPlusNormal"/>
              <w:spacing w:line="276" w:lineRule="auto"/>
              <w:rPr>
                <w:rFonts w:ascii="Times New Roman" w:hAnsi="Times New Roman" w:cs="Times New Roman"/>
              </w:rPr>
            </w:pPr>
            <w:r w:rsidRPr="00EE6799">
              <w:rPr>
                <w:rFonts w:ascii="Times New Roman" w:hAnsi="Times New Roman" w:cs="Times New Roman"/>
              </w:rPr>
              <w:t>Анализ финансовой устойчивости по величине излишка (недостатка) собственных оборотных средств</w:t>
            </w:r>
          </w:p>
        </w:tc>
        <w:tc>
          <w:tcPr>
            <w:tcW w:w="1361" w:type="dxa"/>
            <w:hideMark/>
          </w:tcPr>
          <w:p w:rsidR="008E2322" w:rsidRPr="00EE6799" w:rsidRDefault="008E2322">
            <w:pPr>
              <w:pStyle w:val="ConsPlusNormal"/>
              <w:spacing w:line="276" w:lineRule="auto"/>
              <w:jc w:val="center"/>
              <w:rPr>
                <w:rFonts w:ascii="Times New Roman" w:hAnsi="Times New Roman" w:cs="Times New Roman"/>
              </w:rPr>
            </w:pPr>
            <w:r w:rsidRPr="00EE6799">
              <w:rPr>
                <w:rFonts w:ascii="Times New Roman" w:hAnsi="Times New Roman" w:cs="Times New Roman"/>
              </w:rPr>
              <w:t>тыс. рублей</w:t>
            </w: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0" w:type="dxa"/>
          </w:tcPr>
          <w:p w:rsidR="008E2322" w:rsidRPr="00EE6799" w:rsidRDefault="008E2322">
            <w:pPr>
              <w:pStyle w:val="ConsPlusNormal"/>
              <w:spacing w:line="276" w:lineRule="auto"/>
              <w:rPr>
                <w:rFonts w:ascii="Times New Roman" w:hAnsi="Times New Roman" w:cs="Times New Roman"/>
              </w:rPr>
            </w:pPr>
          </w:p>
        </w:tc>
        <w:tc>
          <w:tcPr>
            <w:tcW w:w="1172" w:type="dxa"/>
          </w:tcPr>
          <w:p w:rsidR="008E2322" w:rsidRPr="00EE6799" w:rsidRDefault="008E2322">
            <w:pPr>
              <w:pStyle w:val="ConsPlusNormal"/>
              <w:spacing w:line="276" w:lineRule="auto"/>
              <w:rPr>
                <w:rFonts w:ascii="Times New Roman" w:hAnsi="Times New Roman" w:cs="Times New Roman"/>
              </w:rPr>
            </w:pPr>
          </w:p>
        </w:tc>
      </w:tr>
    </w:tbl>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nformat"/>
        <w:jc w:val="both"/>
        <w:rPr>
          <w:rFonts w:ascii="Times New Roman" w:hAnsi="Times New Roman" w:cs="Times New Roman"/>
        </w:rPr>
      </w:pPr>
      <w:r w:rsidRPr="00EE6799">
        <w:rPr>
          <w:rFonts w:ascii="Times New Roman" w:hAnsi="Times New Roman" w:cs="Times New Roman"/>
        </w:rPr>
        <w:t xml:space="preserve">     III. Цены (тарифы) по регулируемым видам деятельности организации</w:t>
      </w:r>
    </w:p>
    <w:p w:rsidR="00602847" w:rsidRPr="00EE6799" w:rsidRDefault="00602847" w:rsidP="0060284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2268"/>
        <w:gridCol w:w="1020"/>
        <w:gridCol w:w="841"/>
        <w:gridCol w:w="841"/>
        <w:gridCol w:w="841"/>
        <w:gridCol w:w="841"/>
        <w:gridCol w:w="841"/>
        <w:gridCol w:w="845"/>
      </w:tblGrid>
      <w:tr w:rsidR="00602847" w:rsidRPr="00EE6799" w:rsidTr="00C5233D">
        <w:tc>
          <w:tcPr>
            <w:tcW w:w="3005" w:type="dxa"/>
            <w:gridSpan w:val="2"/>
            <w:vMerge w:val="restart"/>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Наименование показателей</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Единица изменения</w:t>
            </w:r>
          </w:p>
        </w:tc>
        <w:tc>
          <w:tcPr>
            <w:tcW w:w="1682" w:type="dxa"/>
            <w:gridSpan w:val="2"/>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Фактические показатели за год, предшествующий базовому периоду</w:t>
            </w:r>
          </w:p>
        </w:tc>
        <w:tc>
          <w:tcPr>
            <w:tcW w:w="1682" w:type="dxa"/>
            <w:gridSpan w:val="2"/>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 xml:space="preserve">Показатели, утвержденные на базовый период </w:t>
            </w:r>
            <w:hyperlink r:id="rId22" w:anchor="Par1890" w:history="1">
              <w:r w:rsidRPr="00EE6799">
                <w:rPr>
                  <w:rStyle w:val="a3"/>
                  <w:rFonts w:ascii="Times New Roman" w:hAnsi="Times New Roman" w:cs="Times New Roman"/>
                  <w:u w:val="none"/>
                </w:rPr>
                <w:t>&lt;*&gt;</w:t>
              </w:r>
            </w:hyperlink>
          </w:p>
        </w:tc>
        <w:tc>
          <w:tcPr>
            <w:tcW w:w="1686" w:type="dxa"/>
            <w:gridSpan w:val="2"/>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Предложения на расчетный период регулирования</w:t>
            </w:r>
          </w:p>
        </w:tc>
      </w:tr>
      <w:tr w:rsidR="00602847" w:rsidRPr="00EE6799" w:rsidTr="00573EA3">
        <w:tc>
          <w:tcPr>
            <w:tcW w:w="3005" w:type="dxa"/>
            <w:gridSpan w:val="2"/>
            <w:vMerge/>
            <w:tcBorders>
              <w:top w:val="single" w:sz="4" w:space="0" w:color="auto"/>
              <w:left w:val="single" w:sz="4" w:space="0" w:color="auto"/>
              <w:bottom w:val="single" w:sz="4" w:space="0" w:color="auto"/>
              <w:right w:val="single" w:sz="4" w:space="0" w:color="auto"/>
            </w:tcBorders>
            <w:vAlign w:val="center"/>
            <w:hideMark/>
          </w:tcPr>
          <w:p w:rsidR="00602847" w:rsidRPr="00EE6799" w:rsidRDefault="00602847">
            <w:pPr>
              <w:spacing w:after="0" w:line="240" w:lineRule="auto"/>
              <w:rPr>
                <w:rFonts w:ascii="Times New Roman" w:hAnsi="Times New Roman" w:cs="Times New Roman"/>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02847" w:rsidRPr="00EE6799" w:rsidRDefault="00602847">
            <w:pPr>
              <w:spacing w:after="0" w:line="240" w:lineRule="auto"/>
              <w:rPr>
                <w:rFonts w:ascii="Times New Roman" w:hAnsi="Times New Roman" w:cs="Times New Roman"/>
                <w:sz w:val="16"/>
                <w:szCs w:val="16"/>
              </w:rPr>
            </w:pPr>
          </w:p>
        </w:tc>
        <w:tc>
          <w:tcPr>
            <w:tcW w:w="84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первое полугодие</w:t>
            </w:r>
          </w:p>
        </w:tc>
        <w:tc>
          <w:tcPr>
            <w:tcW w:w="84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второе полугодие</w:t>
            </w:r>
          </w:p>
        </w:tc>
        <w:tc>
          <w:tcPr>
            <w:tcW w:w="84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первое полугодие</w:t>
            </w:r>
          </w:p>
        </w:tc>
        <w:tc>
          <w:tcPr>
            <w:tcW w:w="84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второе полугодие</w:t>
            </w:r>
          </w:p>
        </w:tc>
        <w:tc>
          <w:tcPr>
            <w:tcW w:w="841"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первое полугодие</w:t>
            </w:r>
          </w:p>
        </w:tc>
        <w:tc>
          <w:tcPr>
            <w:tcW w:w="845"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второе полугодие</w:t>
            </w:r>
          </w:p>
        </w:tc>
      </w:tr>
      <w:tr w:rsidR="00602847" w:rsidRPr="00EE6799" w:rsidTr="00C5233D">
        <w:tc>
          <w:tcPr>
            <w:tcW w:w="737"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jc w:val="center"/>
              <w:rPr>
                <w:rFonts w:ascii="Times New Roman" w:hAnsi="Times New Roman" w:cs="Times New Roman"/>
              </w:rPr>
            </w:pPr>
            <w:r w:rsidRPr="00EE6799">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602847" w:rsidRPr="00EE6799" w:rsidRDefault="00602847">
            <w:pPr>
              <w:pStyle w:val="ConsPlusNormal"/>
              <w:spacing w:line="276" w:lineRule="auto"/>
              <w:rPr>
                <w:rFonts w:ascii="Times New Roman" w:hAnsi="Times New Roman" w:cs="Times New Roman"/>
              </w:rPr>
            </w:pPr>
            <w:r w:rsidRPr="00EE6799">
              <w:rPr>
                <w:rFonts w:ascii="Times New Roman" w:hAnsi="Times New Roman" w:cs="Times New Roman"/>
              </w:rPr>
              <w:t>Для организаций, относящихся к субъектам естественных монополий:</w:t>
            </w:r>
          </w:p>
        </w:tc>
        <w:tc>
          <w:tcPr>
            <w:tcW w:w="1020" w:type="dxa"/>
            <w:tcBorders>
              <w:top w:val="single" w:sz="4" w:space="0" w:color="auto"/>
              <w:left w:val="single" w:sz="4" w:space="0" w:color="auto"/>
              <w:bottom w:val="single" w:sz="4" w:space="0" w:color="auto"/>
              <w:right w:val="single" w:sz="4" w:space="0" w:color="auto"/>
            </w:tcBorders>
          </w:tcPr>
          <w:p w:rsidR="00602847" w:rsidRPr="00EE6799" w:rsidRDefault="00602847">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602847" w:rsidRPr="00573EA3" w:rsidRDefault="00602847">
            <w:pPr>
              <w:pStyle w:val="ConsPlusNormal"/>
              <w:spacing w:line="276" w:lineRule="auto"/>
              <w:rPr>
                <w:rFonts w:ascii="Times New Roman" w:hAnsi="Times New Roman" w:cs="Times New Roman"/>
                <w:lang w:val="en-US"/>
              </w:rPr>
            </w:pPr>
          </w:p>
        </w:tc>
        <w:tc>
          <w:tcPr>
            <w:tcW w:w="841" w:type="dxa"/>
            <w:tcBorders>
              <w:top w:val="single" w:sz="4" w:space="0" w:color="auto"/>
              <w:left w:val="single" w:sz="4" w:space="0" w:color="auto"/>
              <w:bottom w:val="single" w:sz="4" w:space="0" w:color="auto"/>
              <w:right w:val="single" w:sz="4" w:space="0" w:color="auto"/>
            </w:tcBorders>
          </w:tcPr>
          <w:p w:rsidR="00602847" w:rsidRPr="00573EA3" w:rsidRDefault="00602847">
            <w:pPr>
              <w:pStyle w:val="ConsPlusNormal"/>
              <w:spacing w:line="276" w:lineRule="auto"/>
              <w:rPr>
                <w:rFonts w:ascii="Times New Roman" w:hAnsi="Times New Roman" w:cs="Times New Roman"/>
                <w:lang w:val="en-US"/>
              </w:rPr>
            </w:pPr>
          </w:p>
        </w:tc>
        <w:tc>
          <w:tcPr>
            <w:tcW w:w="841" w:type="dxa"/>
            <w:tcBorders>
              <w:top w:val="single" w:sz="4" w:space="0" w:color="auto"/>
              <w:left w:val="single" w:sz="4" w:space="0" w:color="auto"/>
              <w:bottom w:val="single" w:sz="4" w:space="0" w:color="auto"/>
              <w:right w:val="single" w:sz="4" w:space="0" w:color="auto"/>
            </w:tcBorders>
          </w:tcPr>
          <w:p w:rsidR="00602847" w:rsidRPr="00573EA3" w:rsidRDefault="00602847">
            <w:pPr>
              <w:pStyle w:val="ConsPlusNormal"/>
              <w:spacing w:line="276" w:lineRule="auto"/>
              <w:rPr>
                <w:rFonts w:ascii="Times New Roman" w:hAnsi="Times New Roman" w:cs="Times New Roman"/>
                <w:lang w:val="en-US"/>
              </w:rPr>
            </w:pPr>
          </w:p>
        </w:tc>
        <w:tc>
          <w:tcPr>
            <w:tcW w:w="841" w:type="dxa"/>
            <w:tcBorders>
              <w:top w:val="single" w:sz="4" w:space="0" w:color="auto"/>
              <w:left w:val="single" w:sz="4" w:space="0" w:color="auto"/>
              <w:bottom w:val="single" w:sz="4" w:space="0" w:color="auto"/>
              <w:right w:val="single" w:sz="4" w:space="0" w:color="auto"/>
            </w:tcBorders>
          </w:tcPr>
          <w:p w:rsidR="00602847" w:rsidRPr="00573EA3" w:rsidRDefault="00602847">
            <w:pPr>
              <w:pStyle w:val="ConsPlusNormal"/>
              <w:spacing w:line="276" w:lineRule="auto"/>
              <w:rPr>
                <w:rFonts w:ascii="Times New Roman" w:hAnsi="Times New Roman" w:cs="Times New Roman"/>
                <w:lang w:val="en-US"/>
              </w:rPr>
            </w:pPr>
          </w:p>
        </w:tc>
        <w:tc>
          <w:tcPr>
            <w:tcW w:w="841" w:type="dxa"/>
            <w:tcBorders>
              <w:top w:val="single" w:sz="4" w:space="0" w:color="auto"/>
              <w:left w:val="single" w:sz="4" w:space="0" w:color="auto"/>
              <w:bottom w:val="single" w:sz="4" w:space="0" w:color="auto"/>
              <w:right w:val="single" w:sz="4" w:space="0" w:color="auto"/>
            </w:tcBorders>
          </w:tcPr>
          <w:p w:rsidR="00602847" w:rsidRPr="00573EA3" w:rsidRDefault="00602847">
            <w:pPr>
              <w:pStyle w:val="ConsPlusNormal"/>
              <w:spacing w:line="276" w:lineRule="auto"/>
              <w:rPr>
                <w:rFonts w:ascii="Times New Roman" w:hAnsi="Times New Roman" w:cs="Times New Roman"/>
                <w:lang w:val="en-US"/>
              </w:rPr>
            </w:pPr>
          </w:p>
        </w:tc>
        <w:tc>
          <w:tcPr>
            <w:tcW w:w="845" w:type="dxa"/>
            <w:tcBorders>
              <w:top w:val="single" w:sz="4" w:space="0" w:color="auto"/>
              <w:left w:val="single" w:sz="4" w:space="0" w:color="auto"/>
              <w:bottom w:val="single" w:sz="4" w:space="0" w:color="auto"/>
              <w:right w:val="single" w:sz="4" w:space="0" w:color="auto"/>
            </w:tcBorders>
          </w:tcPr>
          <w:p w:rsidR="00602847" w:rsidRPr="00573EA3" w:rsidRDefault="00602847">
            <w:pPr>
              <w:pStyle w:val="ConsPlusNormal"/>
              <w:spacing w:line="276" w:lineRule="auto"/>
              <w:rPr>
                <w:rFonts w:ascii="Times New Roman" w:hAnsi="Times New Roman" w:cs="Times New Roman"/>
                <w:lang w:val="en-US"/>
              </w:rPr>
            </w:pPr>
          </w:p>
        </w:tc>
      </w:tr>
      <w:tr w:rsidR="00573EA3" w:rsidRPr="00EE6799" w:rsidTr="00C5233D">
        <w:tc>
          <w:tcPr>
            <w:tcW w:w="737"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1.1.</w:t>
            </w: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услуги по оперативно-диспетчерскому управлению в электроэнергетике:</w:t>
            </w:r>
          </w:p>
        </w:tc>
        <w:tc>
          <w:tcPr>
            <w:tcW w:w="1020"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5"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r>
      <w:tr w:rsidR="00573EA3" w:rsidRPr="00EE6799" w:rsidTr="00C5233D">
        <w:tc>
          <w:tcPr>
            <w:tcW w:w="737"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 xml:space="preserve">тариф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w:t>
            </w:r>
            <w:proofErr w:type="spellStart"/>
            <w:r w:rsidRPr="00EE6799">
              <w:rPr>
                <w:rFonts w:ascii="Times New Roman" w:hAnsi="Times New Roman" w:cs="Times New Roman"/>
              </w:rPr>
              <w:t>энергопринимающих</w:t>
            </w:r>
            <w:proofErr w:type="spellEnd"/>
            <w:r w:rsidRPr="00EE6799">
              <w:rPr>
                <w:rFonts w:ascii="Times New Roman" w:hAnsi="Times New Roman" w:cs="Times New Roman"/>
              </w:rPr>
              <w:t xml:space="preserve"> устройств потребителей электрической энергии, обеспечения функционирования технологической инфраструктуры оптового и розничных рынков, оказываемые акционерным обществом "Системный оператор Единой энергетической системы"</w:t>
            </w:r>
          </w:p>
        </w:tc>
        <w:tc>
          <w:tcPr>
            <w:tcW w:w="1020"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рублей/МВт в месяц</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5"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r>
      <w:tr w:rsidR="00573EA3" w:rsidRPr="00EE6799" w:rsidTr="00C5233D">
        <w:tc>
          <w:tcPr>
            <w:tcW w:w="737"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предельный максимальный уровень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оказываемых акционерным обществом "Системный оператор Единой энергетической системы"</w:t>
            </w:r>
          </w:p>
        </w:tc>
        <w:tc>
          <w:tcPr>
            <w:tcW w:w="1020"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w:t>
            </w:r>
            <w:proofErr w:type="spellStart"/>
            <w:r w:rsidRPr="00EE6799">
              <w:rPr>
                <w:rFonts w:ascii="Times New Roman" w:hAnsi="Times New Roman" w:cs="Times New Roman"/>
              </w:rPr>
              <w:t>МВт·ч</w:t>
            </w:r>
            <w:proofErr w:type="spellEnd"/>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1"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c>
          <w:tcPr>
            <w:tcW w:w="845" w:type="dxa"/>
            <w:tcBorders>
              <w:top w:val="single" w:sz="4" w:space="0" w:color="auto"/>
              <w:left w:val="single" w:sz="4" w:space="0" w:color="auto"/>
              <w:bottom w:val="single" w:sz="4" w:space="0" w:color="auto"/>
              <w:right w:val="single" w:sz="4" w:space="0" w:color="auto"/>
            </w:tcBorders>
          </w:tcPr>
          <w:p w:rsidR="00573EA3" w:rsidRPr="00573EA3" w:rsidRDefault="00573EA3" w:rsidP="00573EA3">
            <w:pPr>
              <w:pStyle w:val="ConsPlusNormal"/>
              <w:spacing w:line="276" w:lineRule="auto"/>
              <w:rPr>
                <w:rFonts w:ascii="Times New Roman" w:hAnsi="Times New Roman" w:cs="Times New Roman"/>
                <w:lang w:val="en-US"/>
              </w:rPr>
            </w:pPr>
            <w:r>
              <w:rPr>
                <w:rFonts w:ascii="Times New Roman" w:hAnsi="Times New Roman" w:cs="Times New Roman"/>
                <w:lang w:val="en-US"/>
              </w:rPr>
              <w:t>-</w:t>
            </w:r>
          </w:p>
        </w:tc>
      </w:tr>
      <w:tr w:rsidR="00573EA3" w:rsidRPr="00EE6799" w:rsidTr="00C5233D">
        <w:tc>
          <w:tcPr>
            <w:tcW w:w="737"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1.2.</w:t>
            </w: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услуги по передаче электрической энергии:</w:t>
            </w:r>
          </w:p>
        </w:tc>
        <w:tc>
          <w:tcPr>
            <w:tcW w:w="1020"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C5233D">
        <w:tc>
          <w:tcPr>
            <w:tcW w:w="737"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proofErr w:type="spellStart"/>
            <w:r w:rsidRPr="00EE6799">
              <w:rPr>
                <w:rFonts w:ascii="Times New Roman" w:hAnsi="Times New Roman" w:cs="Times New Roman"/>
              </w:rPr>
              <w:t>двухставочный</w:t>
            </w:r>
            <w:proofErr w:type="spellEnd"/>
            <w:r w:rsidRPr="00EE6799">
              <w:rPr>
                <w:rFonts w:ascii="Times New Roman" w:hAnsi="Times New Roman" w:cs="Times New Roman"/>
              </w:rPr>
              <w:t xml:space="preserve"> тариф:</w:t>
            </w:r>
          </w:p>
        </w:tc>
        <w:tc>
          <w:tcPr>
            <w:tcW w:w="1020"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C5233D">
        <w:tc>
          <w:tcPr>
            <w:tcW w:w="737"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ставка на содержание сетей</w:t>
            </w:r>
          </w:p>
        </w:tc>
        <w:tc>
          <w:tcPr>
            <w:tcW w:w="1020"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рублей/МВт в месяц</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D91B55" w:rsidP="00573EA3">
            <w:pPr>
              <w:pStyle w:val="ConsPlusNormal"/>
              <w:spacing w:line="276" w:lineRule="auto"/>
              <w:rPr>
                <w:rFonts w:ascii="Times New Roman" w:hAnsi="Times New Roman" w:cs="Times New Roman"/>
              </w:rPr>
            </w:pPr>
            <w:r>
              <w:rPr>
                <w:rFonts w:ascii="Times New Roman" w:hAnsi="Times New Roman" w:cs="Times New Roman"/>
              </w:rPr>
              <w:t>259 871,4</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D91B55" w:rsidP="00573EA3">
            <w:pPr>
              <w:pStyle w:val="ConsPlusNormal"/>
              <w:spacing w:line="276" w:lineRule="auto"/>
              <w:rPr>
                <w:rFonts w:ascii="Times New Roman" w:hAnsi="Times New Roman" w:cs="Times New Roman"/>
              </w:rPr>
            </w:pPr>
            <w:r>
              <w:rPr>
                <w:rFonts w:ascii="Times New Roman" w:hAnsi="Times New Roman" w:cs="Times New Roman"/>
              </w:rPr>
              <w:t>259 871,4</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r>
              <w:rPr>
                <w:rFonts w:ascii="Times New Roman" w:hAnsi="Times New Roman" w:cs="Times New Roman"/>
              </w:rPr>
              <w:t>70 478,51</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r>
              <w:rPr>
                <w:rFonts w:ascii="Times New Roman" w:hAnsi="Times New Roman" w:cs="Times New Roman"/>
              </w:rPr>
              <w:t>70 478,51</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D91B55" w:rsidP="00573EA3">
            <w:pPr>
              <w:pStyle w:val="ConsPlusNormal"/>
              <w:spacing w:line="276" w:lineRule="auto"/>
              <w:rPr>
                <w:rFonts w:ascii="Times New Roman" w:hAnsi="Times New Roman" w:cs="Times New Roman"/>
              </w:rPr>
            </w:pPr>
            <w:r>
              <w:rPr>
                <w:rFonts w:ascii="Times New Roman" w:hAnsi="Times New Roman" w:cs="Times New Roman"/>
              </w:rPr>
              <w:t>94 405,93</w:t>
            </w:r>
          </w:p>
        </w:tc>
        <w:tc>
          <w:tcPr>
            <w:tcW w:w="845" w:type="dxa"/>
            <w:tcBorders>
              <w:top w:val="single" w:sz="4" w:space="0" w:color="auto"/>
              <w:left w:val="single" w:sz="4" w:space="0" w:color="auto"/>
              <w:bottom w:val="single" w:sz="4" w:space="0" w:color="auto"/>
              <w:right w:val="single" w:sz="4" w:space="0" w:color="auto"/>
            </w:tcBorders>
          </w:tcPr>
          <w:p w:rsidR="00573EA3" w:rsidRPr="00EE6799" w:rsidRDefault="00D91B55" w:rsidP="00573EA3">
            <w:pPr>
              <w:pStyle w:val="ConsPlusNormal"/>
              <w:spacing w:line="276" w:lineRule="auto"/>
              <w:rPr>
                <w:rFonts w:ascii="Times New Roman" w:hAnsi="Times New Roman" w:cs="Times New Roman"/>
              </w:rPr>
            </w:pPr>
            <w:r>
              <w:rPr>
                <w:rFonts w:ascii="Times New Roman" w:hAnsi="Times New Roman" w:cs="Times New Roman"/>
              </w:rPr>
              <w:t>94 405,93</w:t>
            </w:r>
          </w:p>
        </w:tc>
      </w:tr>
      <w:tr w:rsidR="00573EA3" w:rsidRPr="00EE6799" w:rsidTr="00C5233D">
        <w:tc>
          <w:tcPr>
            <w:tcW w:w="737"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ставка на оплату технологического расхода (потерь)</w:t>
            </w:r>
          </w:p>
        </w:tc>
        <w:tc>
          <w:tcPr>
            <w:tcW w:w="1020"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w:t>
            </w:r>
            <w:proofErr w:type="spellStart"/>
            <w:r w:rsidRPr="00EE6799">
              <w:rPr>
                <w:rFonts w:ascii="Times New Roman" w:hAnsi="Times New Roman" w:cs="Times New Roman"/>
              </w:rPr>
              <w:t>МВт·ч</w:t>
            </w:r>
            <w:proofErr w:type="spellEnd"/>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D91B55" w:rsidP="00573EA3">
            <w:pPr>
              <w:pStyle w:val="ConsPlusNormal"/>
              <w:spacing w:line="276" w:lineRule="auto"/>
              <w:rPr>
                <w:rFonts w:ascii="Times New Roman" w:hAnsi="Times New Roman" w:cs="Times New Roman"/>
              </w:rPr>
            </w:pPr>
            <w:r>
              <w:rPr>
                <w:rFonts w:ascii="Times New Roman" w:hAnsi="Times New Roman" w:cs="Times New Roman"/>
              </w:rPr>
              <w:t>0</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D91B55" w:rsidP="00573EA3">
            <w:pPr>
              <w:pStyle w:val="ConsPlusNormal"/>
              <w:spacing w:line="276" w:lineRule="auto"/>
              <w:rPr>
                <w:rFonts w:ascii="Times New Roman" w:hAnsi="Times New Roman" w:cs="Times New Roman"/>
              </w:rPr>
            </w:pPr>
            <w:r>
              <w:rPr>
                <w:rFonts w:ascii="Times New Roman" w:hAnsi="Times New Roman" w:cs="Times New Roman"/>
              </w:rPr>
              <w:t>0</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r w:rsidRPr="00EE6799">
              <w:rPr>
                <w:rFonts w:ascii="Times New Roman" w:hAnsi="Times New Roman" w:cs="Times New Roman"/>
              </w:rPr>
              <w:t>0</w:t>
            </w:r>
          </w:p>
        </w:tc>
        <w:tc>
          <w:tcPr>
            <w:tcW w:w="845" w:type="dxa"/>
            <w:tcBorders>
              <w:top w:val="single" w:sz="4" w:space="0" w:color="auto"/>
              <w:left w:val="single" w:sz="4" w:space="0" w:color="auto"/>
              <w:bottom w:val="single" w:sz="4" w:space="0" w:color="auto"/>
              <w:right w:val="single" w:sz="4" w:space="0" w:color="auto"/>
            </w:tcBorders>
          </w:tcPr>
          <w:p w:rsidR="00573EA3" w:rsidRPr="00EE6799" w:rsidRDefault="00D91B55" w:rsidP="00573EA3">
            <w:pPr>
              <w:pStyle w:val="ConsPlusNormal"/>
              <w:spacing w:line="276" w:lineRule="auto"/>
              <w:rPr>
                <w:rFonts w:ascii="Times New Roman" w:hAnsi="Times New Roman" w:cs="Times New Roman"/>
              </w:rPr>
            </w:pPr>
            <w:r>
              <w:rPr>
                <w:rFonts w:ascii="Times New Roman" w:hAnsi="Times New Roman" w:cs="Times New Roman"/>
              </w:rPr>
              <w:t>0</w:t>
            </w:r>
          </w:p>
        </w:tc>
      </w:tr>
      <w:tr w:rsidR="00573EA3" w:rsidRPr="00EE6799" w:rsidTr="00C5233D">
        <w:tc>
          <w:tcPr>
            <w:tcW w:w="737"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rPr>
                <w:rFonts w:ascii="Times New Roman" w:hAnsi="Times New Roman" w:cs="Times New Roman"/>
              </w:rPr>
            </w:pPr>
            <w:proofErr w:type="spellStart"/>
            <w:r w:rsidRPr="00EE6799">
              <w:rPr>
                <w:rFonts w:ascii="Times New Roman" w:hAnsi="Times New Roman" w:cs="Times New Roman"/>
              </w:rPr>
              <w:t>одноставочный</w:t>
            </w:r>
            <w:proofErr w:type="spellEnd"/>
            <w:r w:rsidRPr="00EE6799">
              <w:rPr>
                <w:rFonts w:ascii="Times New Roman" w:hAnsi="Times New Roman" w:cs="Times New Roman"/>
              </w:rPr>
              <w:t xml:space="preserve"> тариф</w:t>
            </w:r>
          </w:p>
        </w:tc>
        <w:tc>
          <w:tcPr>
            <w:tcW w:w="1020" w:type="dxa"/>
            <w:tcBorders>
              <w:top w:val="single" w:sz="4" w:space="0" w:color="auto"/>
              <w:left w:val="single" w:sz="4" w:space="0" w:color="auto"/>
              <w:bottom w:val="single" w:sz="4" w:space="0" w:color="auto"/>
              <w:right w:val="single" w:sz="4" w:space="0" w:color="auto"/>
            </w:tcBorders>
            <w:hideMark/>
          </w:tcPr>
          <w:p w:rsidR="00573EA3" w:rsidRPr="00EE6799" w:rsidRDefault="00573EA3" w:rsidP="00573EA3">
            <w:pPr>
              <w:pStyle w:val="ConsPlusNormal"/>
              <w:spacing w:line="276" w:lineRule="auto"/>
              <w:jc w:val="center"/>
              <w:rPr>
                <w:rFonts w:ascii="Times New Roman" w:hAnsi="Times New Roman" w:cs="Times New Roman"/>
              </w:rPr>
            </w:pPr>
            <w:r w:rsidRPr="00EE6799">
              <w:rPr>
                <w:rFonts w:ascii="Times New Roman" w:hAnsi="Times New Roman" w:cs="Times New Roman"/>
              </w:rPr>
              <w:t>рублей/</w:t>
            </w:r>
            <w:proofErr w:type="spellStart"/>
            <w:r w:rsidRPr="00EE6799">
              <w:rPr>
                <w:rFonts w:ascii="Times New Roman" w:hAnsi="Times New Roman" w:cs="Times New Roman"/>
              </w:rPr>
              <w:t>МВт·ч</w:t>
            </w:r>
            <w:proofErr w:type="spellEnd"/>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D91B55" w:rsidP="00573EA3">
            <w:pPr>
              <w:pStyle w:val="ConsPlusNormal"/>
              <w:spacing w:line="276" w:lineRule="auto"/>
              <w:rPr>
                <w:rFonts w:ascii="Times New Roman" w:hAnsi="Times New Roman" w:cs="Times New Roman"/>
              </w:rPr>
            </w:pPr>
            <w:r>
              <w:rPr>
                <w:rFonts w:ascii="Times New Roman" w:hAnsi="Times New Roman" w:cs="Times New Roman"/>
              </w:rPr>
              <w:t>403,78</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D91B55" w:rsidP="00573EA3">
            <w:pPr>
              <w:pStyle w:val="ConsPlusNormal"/>
              <w:spacing w:line="276" w:lineRule="auto"/>
              <w:rPr>
                <w:rFonts w:ascii="Times New Roman" w:hAnsi="Times New Roman" w:cs="Times New Roman"/>
              </w:rPr>
            </w:pPr>
            <w:r>
              <w:rPr>
                <w:rFonts w:ascii="Times New Roman" w:hAnsi="Times New Roman" w:cs="Times New Roman"/>
              </w:rPr>
              <w:t>403,78</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r>
              <w:rPr>
                <w:rFonts w:ascii="Times New Roman" w:hAnsi="Times New Roman" w:cs="Times New Roman"/>
              </w:rPr>
              <w:t>181,49</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573EA3" w:rsidP="00573EA3">
            <w:pPr>
              <w:pStyle w:val="ConsPlusNormal"/>
              <w:spacing w:line="276" w:lineRule="auto"/>
              <w:rPr>
                <w:rFonts w:ascii="Times New Roman" w:hAnsi="Times New Roman" w:cs="Times New Roman"/>
              </w:rPr>
            </w:pPr>
            <w:r>
              <w:rPr>
                <w:rFonts w:ascii="Times New Roman" w:hAnsi="Times New Roman" w:cs="Times New Roman"/>
              </w:rPr>
              <w:t>181,49</w:t>
            </w:r>
          </w:p>
        </w:tc>
        <w:tc>
          <w:tcPr>
            <w:tcW w:w="841" w:type="dxa"/>
            <w:tcBorders>
              <w:top w:val="single" w:sz="4" w:space="0" w:color="auto"/>
              <w:left w:val="single" w:sz="4" w:space="0" w:color="auto"/>
              <w:bottom w:val="single" w:sz="4" w:space="0" w:color="auto"/>
              <w:right w:val="single" w:sz="4" w:space="0" w:color="auto"/>
            </w:tcBorders>
          </w:tcPr>
          <w:p w:rsidR="00573EA3" w:rsidRPr="00EE6799" w:rsidRDefault="00D91B55" w:rsidP="00573EA3">
            <w:pPr>
              <w:pStyle w:val="ConsPlusNormal"/>
              <w:spacing w:line="276" w:lineRule="auto"/>
              <w:rPr>
                <w:rFonts w:ascii="Times New Roman" w:hAnsi="Times New Roman" w:cs="Times New Roman"/>
              </w:rPr>
            </w:pPr>
            <w:r>
              <w:rPr>
                <w:rFonts w:ascii="Times New Roman" w:hAnsi="Times New Roman" w:cs="Times New Roman"/>
              </w:rPr>
              <w:t>263,50</w:t>
            </w:r>
          </w:p>
        </w:tc>
        <w:tc>
          <w:tcPr>
            <w:tcW w:w="845" w:type="dxa"/>
            <w:tcBorders>
              <w:top w:val="single" w:sz="4" w:space="0" w:color="auto"/>
              <w:left w:val="single" w:sz="4" w:space="0" w:color="auto"/>
              <w:bottom w:val="single" w:sz="4" w:space="0" w:color="auto"/>
              <w:right w:val="single" w:sz="4" w:space="0" w:color="auto"/>
            </w:tcBorders>
          </w:tcPr>
          <w:p w:rsidR="00573EA3" w:rsidRPr="00EE6799" w:rsidRDefault="00D91B55" w:rsidP="00573EA3">
            <w:pPr>
              <w:pStyle w:val="ConsPlusNormal"/>
              <w:spacing w:line="276" w:lineRule="auto"/>
              <w:rPr>
                <w:rFonts w:ascii="Times New Roman" w:hAnsi="Times New Roman" w:cs="Times New Roman"/>
              </w:rPr>
            </w:pPr>
            <w:r>
              <w:rPr>
                <w:rFonts w:ascii="Times New Roman" w:hAnsi="Times New Roman" w:cs="Times New Roman"/>
              </w:rPr>
              <w:t>263,50</w:t>
            </w:r>
          </w:p>
        </w:tc>
      </w:tr>
      <w:tr w:rsidR="00573EA3" w:rsidRPr="00EE6799" w:rsidTr="00C5233D">
        <w:tc>
          <w:tcPr>
            <w:tcW w:w="737" w:type="dxa"/>
            <w:tcBorders>
              <w:top w:val="single" w:sz="4" w:space="0" w:color="auto"/>
            </w:tcBorders>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1020" w:type="dxa"/>
            <w:tcBorders>
              <w:top w:val="single" w:sz="4" w:space="0" w:color="auto"/>
            </w:tcBorders>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c>
          <w:tcPr>
            <w:tcW w:w="845" w:type="dxa"/>
            <w:tcBorders>
              <w:top w:val="single" w:sz="4" w:space="0" w:color="auto"/>
            </w:tcBorders>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jc w:val="center"/>
              <w:rPr>
                <w:rFonts w:ascii="Times New Roman" w:hAnsi="Times New Roman" w:cs="Times New Roman"/>
              </w:rPr>
            </w:pPr>
          </w:p>
        </w:tc>
        <w:tc>
          <w:tcPr>
            <w:tcW w:w="2268" w:type="dxa"/>
          </w:tcPr>
          <w:p w:rsidR="00573EA3" w:rsidRPr="00EE6799" w:rsidRDefault="00573EA3" w:rsidP="00573EA3">
            <w:pPr>
              <w:pStyle w:val="ConsPlusNormal"/>
              <w:spacing w:line="276" w:lineRule="auto"/>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Pr>
          <w:p w:rsidR="00573EA3" w:rsidRPr="00EE6799" w:rsidRDefault="00573EA3" w:rsidP="00573EA3">
            <w:pPr>
              <w:pStyle w:val="ConsPlusNormal"/>
              <w:spacing w:line="276" w:lineRule="auto"/>
              <w:rPr>
                <w:rFonts w:ascii="Times New Roman" w:hAnsi="Times New Roman" w:cs="Times New Roman"/>
              </w:rPr>
            </w:pPr>
          </w:p>
        </w:tc>
        <w:tc>
          <w:tcPr>
            <w:tcW w:w="2268" w:type="dxa"/>
          </w:tcPr>
          <w:p w:rsidR="00573EA3" w:rsidRPr="00EE6799" w:rsidRDefault="00573EA3" w:rsidP="00573EA3">
            <w:pPr>
              <w:pStyle w:val="ConsPlusNormal"/>
              <w:spacing w:line="276" w:lineRule="auto"/>
              <w:ind w:left="283"/>
              <w:rPr>
                <w:rFonts w:ascii="Times New Roman" w:hAnsi="Times New Roman" w:cs="Times New Roman"/>
              </w:rPr>
            </w:pPr>
          </w:p>
        </w:tc>
        <w:tc>
          <w:tcPr>
            <w:tcW w:w="1020" w:type="dxa"/>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1" w:type="dxa"/>
          </w:tcPr>
          <w:p w:rsidR="00573EA3" w:rsidRPr="00EE6799" w:rsidRDefault="00573EA3" w:rsidP="00573EA3">
            <w:pPr>
              <w:pStyle w:val="ConsPlusNormal"/>
              <w:spacing w:line="276" w:lineRule="auto"/>
              <w:rPr>
                <w:rFonts w:ascii="Times New Roman" w:hAnsi="Times New Roman" w:cs="Times New Roman"/>
              </w:rPr>
            </w:pPr>
          </w:p>
        </w:tc>
        <w:tc>
          <w:tcPr>
            <w:tcW w:w="845" w:type="dxa"/>
          </w:tcPr>
          <w:p w:rsidR="00573EA3" w:rsidRPr="00EE6799" w:rsidRDefault="00573EA3" w:rsidP="00573EA3">
            <w:pPr>
              <w:pStyle w:val="ConsPlusNormal"/>
              <w:spacing w:line="276" w:lineRule="auto"/>
              <w:rPr>
                <w:rFonts w:ascii="Times New Roman" w:hAnsi="Times New Roman" w:cs="Times New Roman"/>
              </w:rPr>
            </w:pPr>
          </w:p>
        </w:tc>
      </w:tr>
      <w:tr w:rsidR="00573EA3" w:rsidRPr="00EE6799" w:rsidTr="00767664">
        <w:tc>
          <w:tcPr>
            <w:tcW w:w="737"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c>
          <w:tcPr>
            <w:tcW w:w="2268" w:type="dxa"/>
            <w:tcBorders>
              <w:top w:val="nil"/>
              <w:left w:val="nil"/>
              <w:bottom w:val="single" w:sz="4" w:space="0" w:color="auto"/>
              <w:right w:val="nil"/>
            </w:tcBorders>
          </w:tcPr>
          <w:p w:rsidR="00573EA3" w:rsidRPr="00EE6799" w:rsidRDefault="00573EA3" w:rsidP="00573EA3">
            <w:pPr>
              <w:pStyle w:val="ConsPlusNormal"/>
              <w:spacing w:line="276" w:lineRule="auto"/>
              <w:ind w:left="283"/>
              <w:rPr>
                <w:rFonts w:ascii="Times New Roman" w:hAnsi="Times New Roman" w:cs="Times New Roman"/>
              </w:rPr>
            </w:pPr>
          </w:p>
        </w:tc>
        <w:tc>
          <w:tcPr>
            <w:tcW w:w="1020" w:type="dxa"/>
            <w:tcBorders>
              <w:top w:val="nil"/>
              <w:left w:val="nil"/>
              <w:bottom w:val="single" w:sz="4" w:space="0" w:color="auto"/>
              <w:right w:val="nil"/>
            </w:tcBorders>
          </w:tcPr>
          <w:p w:rsidR="00573EA3" w:rsidRPr="00EE6799" w:rsidRDefault="00573EA3" w:rsidP="00573EA3">
            <w:pPr>
              <w:pStyle w:val="ConsPlusNormal"/>
              <w:spacing w:line="276" w:lineRule="auto"/>
              <w:jc w:val="center"/>
              <w:rPr>
                <w:rFonts w:ascii="Times New Roman" w:hAnsi="Times New Roman" w:cs="Times New Roman"/>
              </w:rPr>
            </w:pPr>
          </w:p>
        </w:tc>
        <w:tc>
          <w:tcPr>
            <w:tcW w:w="841"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c>
          <w:tcPr>
            <w:tcW w:w="841"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c>
          <w:tcPr>
            <w:tcW w:w="845" w:type="dxa"/>
            <w:tcBorders>
              <w:top w:val="nil"/>
              <w:left w:val="nil"/>
              <w:bottom w:val="single" w:sz="4" w:space="0" w:color="auto"/>
              <w:right w:val="nil"/>
            </w:tcBorders>
          </w:tcPr>
          <w:p w:rsidR="00573EA3" w:rsidRPr="00EE6799" w:rsidRDefault="00573EA3" w:rsidP="00573EA3">
            <w:pPr>
              <w:pStyle w:val="ConsPlusNormal"/>
              <w:spacing w:line="276" w:lineRule="auto"/>
              <w:rPr>
                <w:rFonts w:ascii="Times New Roman" w:hAnsi="Times New Roman" w:cs="Times New Roman"/>
              </w:rPr>
            </w:pPr>
          </w:p>
        </w:tc>
      </w:tr>
    </w:tbl>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rmal"/>
        <w:ind w:firstLine="540"/>
        <w:jc w:val="both"/>
        <w:rPr>
          <w:rFonts w:ascii="Times New Roman" w:hAnsi="Times New Roman" w:cs="Times New Roman"/>
        </w:rPr>
      </w:pPr>
      <w:r w:rsidRPr="00EE6799">
        <w:rPr>
          <w:rFonts w:ascii="Times New Roman" w:hAnsi="Times New Roman" w:cs="Times New Roman"/>
        </w:rPr>
        <w:t>--------------------------------</w:t>
      </w:r>
    </w:p>
    <w:p w:rsidR="00602847" w:rsidRPr="00EE6799" w:rsidRDefault="00602847" w:rsidP="00602847">
      <w:pPr>
        <w:pStyle w:val="ConsPlusNormal"/>
        <w:spacing w:before="160"/>
        <w:ind w:firstLine="540"/>
        <w:jc w:val="both"/>
        <w:rPr>
          <w:rFonts w:ascii="Times New Roman" w:hAnsi="Times New Roman" w:cs="Times New Roman"/>
        </w:rPr>
      </w:pPr>
      <w:bookmarkStart w:id="1" w:name="Par1890"/>
      <w:bookmarkEnd w:id="1"/>
      <w:r w:rsidRPr="00EE6799">
        <w:rPr>
          <w:rFonts w:ascii="Times New Roman" w:hAnsi="Times New Roman" w:cs="Times New Roman"/>
        </w:rPr>
        <w:t>&lt;*&gt; Базовый период - год, предшествующий расчетному периоду регулирования.</w:t>
      </w:r>
    </w:p>
    <w:p w:rsidR="00602847" w:rsidRPr="00EE6799" w:rsidRDefault="00602847" w:rsidP="00602847">
      <w:pPr>
        <w:pStyle w:val="ConsPlusNormal"/>
        <w:spacing w:before="160"/>
        <w:ind w:firstLine="540"/>
        <w:jc w:val="both"/>
        <w:rPr>
          <w:rFonts w:ascii="Times New Roman" w:hAnsi="Times New Roman" w:cs="Times New Roman"/>
        </w:rPr>
      </w:pPr>
      <w:bookmarkStart w:id="2" w:name="Par1891"/>
      <w:bookmarkEnd w:id="2"/>
      <w:r w:rsidRPr="00EE6799">
        <w:rPr>
          <w:rFonts w:ascii="Times New Roman" w:hAnsi="Times New Roman" w:cs="Times New Roman"/>
        </w:rPr>
        <w:t>&lt;**&gt; Заполняются организацией, осуществляющей оперативно-диспетчерское управление в электроэнергетике.</w:t>
      </w:r>
    </w:p>
    <w:p w:rsidR="00602847" w:rsidRPr="00EE6799" w:rsidRDefault="00602847" w:rsidP="00602847">
      <w:pPr>
        <w:pStyle w:val="ConsPlusNormal"/>
        <w:spacing w:before="160"/>
        <w:ind w:firstLine="540"/>
        <w:jc w:val="both"/>
        <w:rPr>
          <w:rFonts w:ascii="Times New Roman" w:hAnsi="Times New Roman" w:cs="Times New Roman"/>
        </w:rPr>
      </w:pPr>
      <w:bookmarkStart w:id="3" w:name="Par1892"/>
      <w:bookmarkEnd w:id="3"/>
      <w:r w:rsidRPr="00EE6799">
        <w:rPr>
          <w:rFonts w:ascii="Times New Roman" w:hAnsi="Times New Roman" w:cs="Times New Roman"/>
        </w:rPr>
        <w:t>&lt;***&gt; Заполняются сетевыми организациями, осуществляющими передачу электрической энергии (мощности) по электрическим сетям.</w:t>
      </w:r>
    </w:p>
    <w:p w:rsidR="00602847" w:rsidRPr="00EE6799" w:rsidRDefault="00602847" w:rsidP="00602847">
      <w:pPr>
        <w:pStyle w:val="ConsPlusNormal"/>
        <w:spacing w:before="160"/>
        <w:ind w:firstLine="540"/>
        <w:jc w:val="both"/>
        <w:rPr>
          <w:rFonts w:ascii="Times New Roman" w:hAnsi="Times New Roman" w:cs="Times New Roman"/>
        </w:rPr>
      </w:pPr>
      <w:bookmarkStart w:id="4" w:name="Par1893"/>
      <w:bookmarkEnd w:id="4"/>
      <w:r w:rsidRPr="00EE6799">
        <w:rPr>
          <w:rFonts w:ascii="Times New Roman" w:hAnsi="Times New Roman" w:cs="Times New Roman"/>
        </w:rPr>
        <w:t>&lt;****&gt; Заполняются коммерческим оператором оптового рынка электрической энергии (мощности).</w:t>
      </w: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rmal"/>
        <w:ind w:firstLine="540"/>
        <w:jc w:val="both"/>
        <w:rPr>
          <w:rFonts w:ascii="Times New Roman" w:hAnsi="Times New Roman" w:cs="Times New Roman"/>
        </w:rPr>
      </w:pPr>
      <w:r w:rsidRPr="00EE6799">
        <w:rPr>
          <w:rFonts w:ascii="Times New Roman" w:hAnsi="Times New Roman" w:cs="Times New Roman"/>
        </w:rPr>
        <w:t>Примечания: 1. Предложение о размере цен (тарифов) акционерного общества "Российский концерн по производству электрической и тепловой энергии на атомных станциях" заполняется в целом по компании.</w:t>
      </w:r>
    </w:p>
    <w:p w:rsidR="00602847" w:rsidRPr="00EE6799" w:rsidRDefault="00602847" w:rsidP="00602847">
      <w:pPr>
        <w:pStyle w:val="ConsPlusNormal"/>
        <w:spacing w:before="160"/>
        <w:ind w:firstLine="540"/>
        <w:jc w:val="both"/>
        <w:rPr>
          <w:rFonts w:ascii="Times New Roman" w:hAnsi="Times New Roman" w:cs="Times New Roman"/>
        </w:rPr>
      </w:pPr>
      <w:r w:rsidRPr="00EE6799">
        <w:rPr>
          <w:rFonts w:ascii="Times New Roman" w:hAnsi="Times New Roman" w:cs="Times New Roman"/>
        </w:rPr>
        <w:t xml:space="preserve">2. При подготовке предложений о размере цен (тарифов) с целью поставки электрической энергии по регулируемым договорам </w:t>
      </w:r>
      <w:hyperlink r:id="rId23" w:anchor="Par1397" w:history="1">
        <w:r w:rsidRPr="00EE6799">
          <w:rPr>
            <w:rStyle w:val="a3"/>
            <w:rFonts w:ascii="Times New Roman" w:hAnsi="Times New Roman" w:cs="Times New Roman"/>
            <w:u w:val="none"/>
          </w:rPr>
          <w:t>позиции 9</w:t>
        </w:r>
      </w:hyperlink>
      <w:r w:rsidRPr="00EE6799">
        <w:rPr>
          <w:rFonts w:ascii="Times New Roman" w:hAnsi="Times New Roman" w:cs="Times New Roman"/>
        </w:rPr>
        <w:t xml:space="preserve">, </w:t>
      </w:r>
      <w:hyperlink r:id="rId24" w:anchor="Par1403" w:history="1">
        <w:r w:rsidRPr="00EE6799">
          <w:rPr>
            <w:rStyle w:val="a3"/>
            <w:rFonts w:ascii="Times New Roman" w:hAnsi="Times New Roman" w:cs="Times New Roman"/>
            <w:u w:val="none"/>
          </w:rPr>
          <w:t>10</w:t>
        </w:r>
      </w:hyperlink>
      <w:r w:rsidRPr="00EE6799">
        <w:rPr>
          <w:rFonts w:ascii="Times New Roman" w:hAnsi="Times New Roman" w:cs="Times New Roman"/>
        </w:rPr>
        <w:t xml:space="preserve">, </w:t>
      </w:r>
      <w:hyperlink r:id="rId25" w:anchor="Par1457" w:history="1">
        <w:r w:rsidRPr="00EE6799">
          <w:rPr>
            <w:rStyle w:val="a3"/>
            <w:rFonts w:ascii="Times New Roman" w:hAnsi="Times New Roman" w:cs="Times New Roman"/>
            <w:u w:val="none"/>
          </w:rPr>
          <w:t>12</w:t>
        </w:r>
      </w:hyperlink>
      <w:r w:rsidRPr="00EE6799">
        <w:rPr>
          <w:rFonts w:ascii="Times New Roman" w:hAnsi="Times New Roman" w:cs="Times New Roman"/>
        </w:rPr>
        <w:t xml:space="preserve">, </w:t>
      </w:r>
      <w:hyperlink r:id="rId26" w:anchor="Par1481" w:history="1">
        <w:r w:rsidRPr="00EE6799">
          <w:rPr>
            <w:rStyle w:val="a3"/>
            <w:rFonts w:ascii="Times New Roman" w:hAnsi="Times New Roman" w:cs="Times New Roman"/>
            <w:u w:val="none"/>
          </w:rPr>
          <w:t>13</w:t>
        </w:r>
      </w:hyperlink>
      <w:r w:rsidRPr="00EE6799">
        <w:rPr>
          <w:rFonts w:ascii="Times New Roman" w:hAnsi="Times New Roman" w:cs="Times New Roman"/>
        </w:rPr>
        <w:t xml:space="preserve"> и </w:t>
      </w:r>
      <w:hyperlink r:id="rId27" w:anchor="Par1511" w:history="1">
        <w:r w:rsidRPr="00EE6799">
          <w:rPr>
            <w:rStyle w:val="a3"/>
            <w:rFonts w:ascii="Times New Roman" w:hAnsi="Times New Roman" w:cs="Times New Roman"/>
            <w:u w:val="none"/>
          </w:rPr>
          <w:t>14</w:t>
        </w:r>
      </w:hyperlink>
      <w:r w:rsidRPr="00EE6799">
        <w:rPr>
          <w:rFonts w:ascii="Times New Roman" w:hAnsi="Times New Roman" w:cs="Times New Roman"/>
        </w:rPr>
        <w:t xml:space="preserve"> раздела 3 "Основные показатели деятельности генерирующих объектов" не заполняются.</w:t>
      </w: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rmal"/>
        <w:jc w:val="both"/>
        <w:rPr>
          <w:rFonts w:ascii="Times New Roman" w:hAnsi="Times New Roman" w:cs="Times New Roman"/>
        </w:rPr>
      </w:pPr>
    </w:p>
    <w:p w:rsidR="00602847" w:rsidRPr="00EE6799" w:rsidRDefault="00602847" w:rsidP="00602847">
      <w:pPr>
        <w:pStyle w:val="ConsPlusNormal"/>
        <w:jc w:val="both"/>
        <w:rPr>
          <w:rFonts w:ascii="Times New Roman" w:hAnsi="Times New Roman" w:cs="Times New Roman"/>
        </w:rPr>
      </w:pPr>
    </w:p>
    <w:p w:rsidR="00602847" w:rsidRPr="00EE6799" w:rsidRDefault="00602847">
      <w:pPr>
        <w:rPr>
          <w:rFonts w:ascii="Times New Roman" w:hAnsi="Times New Roman" w:cs="Times New Roman"/>
        </w:rPr>
      </w:pPr>
    </w:p>
    <w:p w:rsidR="00EE6799" w:rsidRPr="00EE6799" w:rsidRDefault="00EE6799">
      <w:pPr>
        <w:rPr>
          <w:rFonts w:ascii="Times New Roman" w:hAnsi="Times New Roman" w:cs="Times New Roman"/>
        </w:rPr>
      </w:pPr>
    </w:p>
    <w:sectPr w:rsidR="00EE6799" w:rsidRPr="00EE67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47"/>
    <w:rsid w:val="002C29BE"/>
    <w:rsid w:val="003E1296"/>
    <w:rsid w:val="003F45F4"/>
    <w:rsid w:val="00405D0D"/>
    <w:rsid w:val="00573EA3"/>
    <w:rsid w:val="00602847"/>
    <w:rsid w:val="006D74F1"/>
    <w:rsid w:val="00767664"/>
    <w:rsid w:val="007F387C"/>
    <w:rsid w:val="008E2322"/>
    <w:rsid w:val="0092098B"/>
    <w:rsid w:val="00990E0C"/>
    <w:rsid w:val="00BB5CA9"/>
    <w:rsid w:val="00BE1E64"/>
    <w:rsid w:val="00C5233D"/>
    <w:rsid w:val="00D91B55"/>
    <w:rsid w:val="00EE6799"/>
    <w:rsid w:val="00EF0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886E"/>
  <w15:docId w15:val="{69527607-B3E0-434C-ABB1-0147CEF1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0284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602847"/>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styleId="a3">
    <w:name w:val="Hyperlink"/>
    <w:basedOn w:val="a0"/>
    <w:uiPriority w:val="99"/>
    <w:semiHidden/>
    <w:unhideWhenUsed/>
    <w:rsid w:val="006028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emp\export_8132_%7b31828004-302C-4002-83C9-B0E9199D9136%7d.RTF" TargetMode="External"/><Relationship Id="rId13" Type="http://schemas.openxmlformats.org/officeDocument/2006/relationships/hyperlink" Target="file:///C:\Temp\export_8132_%7b31828004-302C-4002-83C9-B0E9199D9136%7d.RTF" TargetMode="External"/><Relationship Id="rId18" Type="http://schemas.openxmlformats.org/officeDocument/2006/relationships/hyperlink" Target="file:///C:\Temp\export_8132_%7b31828004-302C-4002-83C9-B0E9199D9136%7d.RTF" TargetMode="External"/><Relationship Id="rId26" Type="http://schemas.openxmlformats.org/officeDocument/2006/relationships/hyperlink" Target="file:///C:\Temp\export_8132_%7b31828004-302C-4002-83C9-B0E9199D9136%7d.RTF" TargetMode="External"/><Relationship Id="rId3" Type="http://schemas.openxmlformats.org/officeDocument/2006/relationships/webSettings" Target="webSettings.xml"/><Relationship Id="rId21" Type="http://schemas.openxmlformats.org/officeDocument/2006/relationships/hyperlink" Target="file:///C:\Temp\export_8132_%7b31828004-302C-4002-83C9-B0E9199D9136%7d.RTF" TargetMode="External"/><Relationship Id="rId7" Type="http://schemas.openxmlformats.org/officeDocument/2006/relationships/hyperlink" Target="file:///C:\Temp\export_8132_%7b31828004-302C-4002-83C9-B0E9199D9136%7d.RTF" TargetMode="External"/><Relationship Id="rId12" Type="http://schemas.openxmlformats.org/officeDocument/2006/relationships/hyperlink" Target="file:///C:\Temp\export_8132_%7b31828004-302C-4002-83C9-B0E9199D9136%7d.RTF" TargetMode="External"/><Relationship Id="rId17" Type="http://schemas.openxmlformats.org/officeDocument/2006/relationships/hyperlink" Target="file:///C:\Temp\export_8132_%7b31828004-302C-4002-83C9-B0E9199D9136%7d.RTF" TargetMode="External"/><Relationship Id="rId25" Type="http://schemas.openxmlformats.org/officeDocument/2006/relationships/hyperlink" Target="file:///C:\Temp\export_8132_%7b31828004-302C-4002-83C9-B0E9199D9136%7d.RTF" TargetMode="External"/><Relationship Id="rId2" Type="http://schemas.openxmlformats.org/officeDocument/2006/relationships/settings" Target="settings.xml"/><Relationship Id="rId16" Type="http://schemas.openxmlformats.org/officeDocument/2006/relationships/hyperlink" Target="file:///C:\Temp\export_8132_%7b31828004-302C-4002-83C9-B0E9199D9136%7d.RTF" TargetMode="External"/><Relationship Id="rId20" Type="http://schemas.openxmlformats.org/officeDocument/2006/relationships/hyperlink" Target="file:///C:\Temp\export_8132_%7b31828004-302C-4002-83C9-B0E9199D9136%7d.RT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Temp\export_8132_%7b31828004-302C-4002-83C9-B0E9199D9136%7d.RTF" TargetMode="External"/><Relationship Id="rId11" Type="http://schemas.openxmlformats.org/officeDocument/2006/relationships/hyperlink" Target="file:///C:\Temp\export_8132_%7b31828004-302C-4002-83C9-B0E9199D9136%7d.RTF" TargetMode="External"/><Relationship Id="rId24" Type="http://schemas.openxmlformats.org/officeDocument/2006/relationships/hyperlink" Target="file:///C:\Temp\export_8132_%7b31828004-302C-4002-83C9-B0E9199D9136%7d.RTF" TargetMode="External"/><Relationship Id="rId5" Type="http://schemas.openxmlformats.org/officeDocument/2006/relationships/hyperlink" Target="file:///C:\Temp\export_8132_%7b31828004-302C-4002-83C9-B0E9199D9136%7d.RTF" TargetMode="External"/><Relationship Id="rId15" Type="http://schemas.openxmlformats.org/officeDocument/2006/relationships/hyperlink" Target="file:///C:\Temp\export_8132_%7b31828004-302C-4002-83C9-B0E9199D9136%7d.RTF" TargetMode="External"/><Relationship Id="rId23" Type="http://schemas.openxmlformats.org/officeDocument/2006/relationships/hyperlink" Target="file:///C:\Temp\export_8132_%7b31828004-302C-4002-83C9-B0E9199D9136%7d.RTF" TargetMode="External"/><Relationship Id="rId28" Type="http://schemas.openxmlformats.org/officeDocument/2006/relationships/fontTable" Target="fontTable.xml"/><Relationship Id="rId10" Type="http://schemas.openxmlformats.org/officeDocument/2006/relationships/hyperlink" Target="file:///C:\Temp\export_8132_%7b31828004-302C-4002-83C9-B0E9199D9136%7d.RTF" TargetMode="External"/><Relationship Id="rId19" Type="http://schemas.openxmlformats.org/officeDocument/2006/relationships/hyperlink" Target="file:///C:\Temp\export_8132_%7b31828004-302C-4002-83C9-B0E9199D9136%7d.RTF" TargetMode="External"/><Relationship Id="rId4" Type="http://schemas.openxmlformats.org/officeDocument/2006/relationships/hyperlink" Target="file:///C:\Temp\export_8132_%7b31828004-302C-4002-83C9-B0E9199D9136%7d.RTF" TargetMode="External"/><Relationship Id="rId9" Type="http://schemas.openxmlformats.org/officeDocument/2006/relationships/hyperlink" Target="file:///C:\Temp\export_8132_%7b31828004-302C-4002-83C9-B0E9199D9136%7d.RTF" TargetMode="External"/><Relationship Id="rId14" Type="http://schemas.openxmlformats.org/officeDocument/2006/relationships/hyperlink" Target="file:///C:\Temp\export_8132_%7b31828004-302C-4002-83C9-B0E9199D9136%7d.RTF" TargetMode="External"/><Relationship Id="rId22" Type="http://schemas.openxmlformats.org/officeDocument/2006/relationships/hyperlink" Target="file:///C:\Temp\export_8132_%7b31828004-302C-4002-83C9-B0E9199D9136%7d.RTF" TargetMode="External"/><Relationship Id="rId27" Type="http://schemas.openxmlformats.org/officeDocument/2006/relationships/hyperlink" Target="file:///C:\Temp\export_8132_%7b31828004-302C-4002-83C9-B0E9199D9136%7d.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1484</Words>
  <Characters>8461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Данилова Ольга Николаевна</dc:creator>
  <cp:lastModifiedBy>Данилова Ольга Николаевна</cp:lastModifiedBy>
  <cp:revision>6</cp:revision>
  <dcterms:created xsi:type="dcterms:W3CDTF">2022-04-18T11:28:00Z</dcterms:created>
  <dcterms:modified xsi:type="dcterms:W3CDTF">2022-04-19T05:32:00Z</dcterms:modified>
</cp:coreProperties>
</file>